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12C450F">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0119F534">
      <w:pPr>
        <w:keepNext w:val="0"/>
        <w:keepLines w:val="0"/>
        <w:widowControl/>
        <w:kinsoku/>
        <w:wordWrap/>
        <w:overflowPunct/>
        <w:topLinePunct w:val="0"/>
        <w:autoSpaceDE/>
        <w:autoSpaceDN/>
        <w:bidi w:val="0"/>
        <w:adjustRightInd/>
        <w:snapToGrid/>
        <w:spacing w:beforeLines="0" w:afterLines="0" w:line="324" w:lineRule="auto"/>
        <w:ind w:left="-199" w:leftChars="-95" w:firstLine="0" w:firstLineChars="0"/>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1A0A3625">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775E69C6">
      <w:pPr>
        <w:keepNext w:val="0"/>
        <w:keepLines w:val="0"/>
        <w:widowControl/>
        <w:kinsoku/>
        <w:wordWrap/>
        <w:overflowPunct/>
        <w:topLinePunct w:val="0"/>
        <w:autoSpaceDE/>
        <w:autoSpaceDN/>
        <w:bidi w:val="0"/>
        <w:adjustRightInd/>
        <w:snapToGrid/>
        <w:spacing w:beforeLines="0" w:afterLines="0" w:line="324" w:lineRule="auto"/>
        <w:ind w:right="199" w:rightChars="95"/>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2F38CE8E">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2B29F869">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000000" w:themeColor="text1"/>
          <w:sz w:val="28"/>
          <w:szCs w:val="28"/>
          <w:lang w:eastAsia="zh-CN"/>
          <w14:textFill>
            <w14:solidFill>
              <w14:schemeClr w14:val="tx1"/>
            </w14:solidFill>
          </w14:textFill>
        </w:rPr>
      </w:pPr>
    </w:p>
    <w:p w14:paraId="740DA09C">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b/>
          <w:bCs/>
          <w:color w:val="000000" w:themeColor="text1"/>
          <w:sz w:val="44"/>
          <w:szCs w:val="44"/>
          <w:lang w:eastAsia="zh-CN"/>
          <w14:textFill>
            <w14:solidFill>
              <w14:schemeClr w14:val="tx1"/>
            </w14:solidFill>
          </w14:textFill>
        </w:rPr>
      </w:pPr>
      <w:r>
        <w:rPr>
          <w:rFonts w:hint="eastAsia" w:ascii="宋体" w:hAnsi="宋体" w:eastAsia="宋体" w:cs="宋体"/>
          <w:b/>
          <w:bCs/>
          <w:color w:val="000000" w:themeColor="text1"/>
          <w:sz w:val="44"/>
          <w:szCs w:val="44"/>
          <w:lang w:eastAsia="zh-CN"/>
          <w14:textFill>
            <w14:solidFill>
              <w14:schemeClr w14:val="tx1"/>
            </w14:solidFill>
          </w14:textFill>
        </w:rPr>
        <w:t>中证信检测认证中心（广东）有限公司</w:t>
      </w:r>
    </w:p>
    <w:p w14:paraId="0A73F7D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仿宋" w:hAnsi="仿宋" w:eastAsia="仿宋"/>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 xml:space="preserve">                           </w:t>
      </w:r>
    </w:p>
    <w:p w14:paraId="1CFF9FF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eastAsia="宋体"/>
          <w:color w:val="000000" w:themeColor="text1"/>
          <w:sz w:val="28"/>
          <w:szCs w:val="24"/>
          <w:lang w:eastAsia="zh-CN"/>
          <w14:textFill>
            <w14:solidFill>
              <w14:schemeClr w14:val="tx1"/>
            </w14:solidFill>
          </w14:textFill>
        </w:rPr>
      </w:pPr>
    </w:p>
    <w:p w14:paraId="0E5C8CCC">
      <w:pPr>
        <w:keepNext w:val="0"/>
        <w:keepLines w:val="0"/>
        <w:pageBreakBefore w:val="0"/>
        <w:widowControl/>
        <w:kinsoku/>
        <w:wordWrap/>
        <w:overflowPunct/>
        <w:topLinePunct w:val="0"/>
        <w:autoSpaceDE/>
        <w:autoSpaceDN/>
        <w:bidi w:val="0"/>
        <w:adjustRightInd/>
        <w:snapToGrid/>
        <w:spacing w:beforeLines="0" w:afterLines="0" w:line="324" w:lineRule="auto"/>
        <w:jc w:val="center"/>
        <w:textAlignment w:val="auto"/>
        <w:outlineLvl w:val="9"/>
        <w:rPr>
          <w:rFonts w:hint="eastAsia" w:ascii="宋体" w:hAnsi="宋体" w:eastAsia="宋体" w:cs="宋体"/>
          <w:b/>
          <w:color w:val="000000" w:themeColor="text1"/>
          <w:sz w:val="52"/>
          <w:szCs w:val="52"/>
          <w:lang w:val="en-US" w:eastAsia="zh-CN"/>
          <w14:textFill>
            <w14:solidFill>
              <w14:schemeClr w14:val="tx1"/>
            </w14:solidFill>
          </w14:textFill>
        </w:rPr>
      </w:pPr>
      <w:r>
        <w:rPr>
          <w:rFonts w:hint="eastAsia" w:ascii="宋体" w:hAnsi="宋体" w:eastAsia="宋体" w:cs="宋体"/>
          <w:b/>
          <w:color w:val="000000" w:themeColor="text1"/>
          <w:sz w:val="52"/>
          <w:szCs w:val="52"/>
          <w:lang w:eastAsia="zh-CN"/>
          <w14:textFill>
            <w14:solidFill>
              <w14:schemeClr w14:val="tx1"/>
            </w14:solidFill>
          </w14:textFill>
        </w:rPr>
        <w:t>业务连续性管理体系</w:t>
      </w:r>
    </w:p>
    <w:p w14:paraId="30ADBB72">
      <w:pPr>
        <w:keepNext w:val="0"/>
        <w:keepLines w:val="0"/>
        <w:pageBreakBefore w:val="0"/>
        <w:widowControl/>
        <w:kinsoku/>
        <w:wordWrap/>
        <w:overflowPunct/>
        <w:topLinePunct w:val="0"/>
        <w:autoSpaceDE/>
        <w:autoSpaceDN/>
        <w:bidi w:val="0"/>
        <w:adjustRightInd/>
        <w:snapToGrid/>
        <w:spacing w:beforeLines="0" w:afterLines="0" w:line="324" w:lineRule="auto"/>
        <w:jc w:val="center"/>
        <w:textAlignment w:val="auto"/>
        <w:outlineLvl w:val="9"/>
        <w:rPr>
          <w:rFonts w:hint="eastAsia" w:ascii="宋体" w:hAnsi="宋体" w:eastAsia="宋体" w:cs="宋体"/>
          <w:b/>
          <w:color w:val="000000" w:themeColor="text1"/>
          <w:sz w:val="52"/>
          <w:szCs w:val="52"/>
          <w14:textFill>
            <w14:solidFill>
              <w14:schemeClr w14:val="tx1"/>
            </w14:solidFill>
          </w14:textFill>
        </w:rPr>
      </w:pPr>
      <w:r>
        <w:rPr>
          <w:rFonts w:hint="eastAsia" w:ascii="宋体" w:hAnsi="宋体" w:eastAsia="宋体" w:cs="宋体"/>
          <w:b/>
          <w:color w:val="000000" w:themeColor="text1"/>
          <w:sz w:val="52"/>
          <w:szCs w:val="52"/>
          <w:lang w:val="en-US" w:eastAsia="zh-CN"/>
          <w14:textFill>
            <w14:solidFill>
              <w14:schemeClr w14:val="tx1"/>
            </w14:solidFill>
          </w14:textFill>
        </w:rPr>
        <w:t>认证</w:t>
      </w:r>
      <w:r>
        <w:rPr>
          <w:rFonts w:hint="eastAsia" w:ascii="宋体" w:hAnsi="宋体" w:eastAsia="宋体" w:cs="宋体"/>
          <w:b/>
          <w:color w:val="000000" w:themeColor="text1"/>
          <w:sz w:val="52"/>
          <w:szCs w:val="52"/>
          <w:lang w:eastAsia="zh-CN"/>
          <w14:textFill>
            <w14:solidFill>
              <w14:schemeClr w14:val="tx1"/>
            </w14:solidFill>
          </w14:textFill>
        </w:rPr>
        <w:t>实施规则</w:t>
      </w:r>
    </w:p>
    <w:p w14:paraId="6AE0F54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 xml:space="preserve"> </w:t>
      </w:r>
    </w:p>
    <w:p w14:paraId="3318817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7B1E810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34A195F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53163CF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0BE6661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2BB66F0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2E92108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071092C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46ECC3F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19F38E3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rPr>
      </w:pPr>
    </w:p>
    <w:tbl>
      <w:tblPr>
        <w:tblStyle w:val="10"/>
        <w:tblW w:w="8283"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27"/>
        <w:gridCol w:w="1485"/>
        <w:gridCol w:w="1656"/>
        <w:gridCol w:w="1656"/>
        <w:gridCol w:w="1659"/>
      </w:tblGrid>
      <w:tr w14:paraId="2240E0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1827" w:type="dxa"/>
            <w:tcBorders>
              <w:top w:val="single" w:color="auto" w:sz="12" w:space="0"/>
            </w:tcBorders>
            <w:vAlign w:val="center"/>
          </w:tcPr>
          <w:p w14:paraId="2C577A69">
            <w:pPr>
              <w:jc w:val="center"/>
              <w:rPr>
                <w:rFonts w:hint="eastAsia" w:ascii="宋体"/>
                <w:color w:val="000000" w:themeColor="text1"/>
                <w:kern w:val="0"/>
                <w:sz w:val="24"/>
                <w:lang w:val="en-US"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发布/修订日期</w:t>
            </w:r>
          </w:p>
        </w:tc>
        <w:tc>
          <w:tcPr>
            <w:tcW w:w="1485" w:type="dxa"/>
            <w:tcBorders>
              <w:top w:val="single" w:color="auto" w:sz="12" w:space="0"/>
              <w:right w:val="single" w:color="auto" w:sz="8" w:space="0"/>
            </w:tcBorders>
            <w:vAlign w:val="center"/>
          </w:tcPr>
          <w:p w14:paraId="4B1B1964">
            <w:pPr>
              <w:jc w:val="center"/>
              <w:rPr>
                <w:rFonts w:hint="default" w:ascii="宋体"/>
                <w:color w:val="000000" w:themeColor="text1"/>
                <w:kern w:val="0"/>
                <w:sz w:val="24"/>
                <w:lang w:val="en-US"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实施日期</w:t>
            </w:r>
          </w:p>
        </w:tc>
        <w:tc>
          <w:tcPr>
            <w:tcW w:w="1656" w:type="dxa"/>
            <w:tcBorders>
              <w:top w:val="single" w:color="auto" w:sz="12" w:space="0"/>
              <w:right w:val="single" w:color="auto" w:sz="8" w:space="0"/>
            </w:tcBorders>
            <w:vAlign w:val="center"/>
          </w:tcPr>
          <w:p w14:paraId="024FC59F">
            <w:pPr>
              <w:jc w:val="center"/>
              <w:rPr>
                <w:rFonts w:hint="eastAsia" w:ascii="宋体"/>
                <w:color w:val="000000" w:themeColor="text1"/>
                <w:kern w:val="0"/>
                <w:sz w:val="24"/>
                <w:lang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版本</w:t>
            </w:r>
          </w:p>
        </w:tc>
        <w:tc>
          <w:tcPr>
            <w:tcW w:w="1656" w:type="dxa"/>
            <w:tcBorders>
              <w:top w:val="single" w:color="auto" w:sz="12" w:space="0"/>
              <w:left w:val="single" w:color="auto" w:sz="8" w:space="0"/>
              <w:right w:val="single" w:color="auto" w:sz="8" w:space="0"/>
            </w:tcBorders>
            <w:vAlign w:val="center"/>
          </w:tcPr>
          <w:p w14:paraId="3459CCDD">
            <w:pPr>
              <w:jc w:val="center"/>
              <w:rPr>
                <w:rFonts w:hint="default" w:ascii="宋体"/>
                <w:color w:val="000000" w:themeColor="text1"/>
                <w:kern w:val="0"/>
                <w:sz w:val="24"/>
                <w:lang w:val="en-US" w:eastAsia="zh-CN"/>
                <w14:textFill>
                  <w14:solidFill>
                    <w14:schemeClr w14:val="tx1"/>
                  </w14:solidFill>
                </w14:textFill>
              </w:rPr>
            </w:pPr>
            <w:r>
              <w:rPr>
                <w:rFonts w:hint="eastAsia" w:ascii="宋体" w:hAnsi="宋体"/>
                <w:color w:val="000000" w:themeColor="text1"/>
                <w:kern w:val="0"/>
                <w:sz w:val="24"/>
                <w:lang w:eastAsia="zh-CN"/>
                <w14:textFill>
                  <w14:solidFill>
                    <w14:schemeClr w14:val="tx1"/>
                  </w14:solidFill>
                </w14:textFill>
              </w:rPr>
              <w:t>审核</w:t>
            </w:r>
            <w:r>
              <w:rPr>
                <w:rFonts w:hint="eastAsia" w:ascii="宋体" w:hAnsi="宋体"/>
                <w:color w:val="000000" w:themeColor="text1"/>
                <w:kern w:val="0"/>
                <w:sz w:val="24"/>
                <w:lang w:val="en-US" w:eastAsia="zh-CN"/>
                <w14:textFill>
                  <w14:solidFill>
                    <w14:schemeClr w14:val="tx1"/>
                  </w14:solidFill>
                </w14:textFill>
              </w:rPr>
              <w:t>人</w:t>
            </w:r>
          </w:p>
        </w:tc>
        <w:tc>
          <w:tcPr>
            <w:tcW w:w="1659" w:type="dxa"/>
            <w:tcBorders>
              <w:top w:val="single" w:color="auto" w:sz="12" w:space="0"/>
              <w:left w:val="single" w:color="auto" w:sz="8" w:space="0"/>
            </w:tcBorders>
            <w:vAlign w:val="center"/>
          </w:tcPr>
          <w:p w14:paraId="074F4403">
            <w:pPr>
              <w:jc w:val="center"/>
              <w:rPr>
                <w:rFonts w:hint="default" w:ascii="宋体"/>
                <w:color w:val="000000" w:themeColor="text1"/>
                <w:kern w:val="0"/>
                <w:sz w:val="24"/>
                <w:lang w:val="en-US" w:eastAsia="zh-CN"/>
                <w14:textFill>
                  <w14:solidFill>
                    <w14:schemeClr w14:val="tx1"/>
                  </w14:solidFill>
                </w14:textFill>
              </w:rPr>
            </w:pPr>
            <w:r>
              <w:rPr>
                <w:rFonts w:hint="eastAsia" w:ascii="宋体"/>
                <w:color w:val="000000" w:themeColor="text1"/>
                <w:kern w:val="0"/>
                <w:sz w:val="24"/>
                <w:lang w:eastAsia="zh-CN"/>
                <w14:textFill>
                  <w14:solidFill>
                    <w14:schemeClr w14:val="tx1"/>
                  </w14:solidFill>
                </w14:textFill>
              </w:rPr>
              <w:t>批准</w:t>
            </w:r>
            <w:r>
              <w:rPr>
                <w:rFonts w:hint="eastAsia" w:ascii="宋体"/>
                <w:color w:val="000000" w:themeColor="text1"/>
                <w:kern w:val="0"/>
                <w:sz w:val="24"/>
                <w:lang w:val="en-US" w:eastAsia="zh-CN"/>
                <w14:textFill>
                  <w14:solidFill>
                    <w14:schemeClr w14:val="tx1"/>
                  </w14:solidFill>
                </w14:textFill>
              </w:rPr>
              <w:t>人</w:t>
            </w:r>
          </w:p>
        </w:tc>
      </w:tr>
      <w:tr w14:paraId="72BE5D1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1827" w:type="dxa"/>
            <w:vAlign w:val="center"/>
          </w:tcPr>
          <w:p w14:paraId="55C2EE7F">
            <w:pPr>
              <w:jc w:val="center"/>
              <w:rPr>
                <w:rFonts w:hint="default" w:ascii="宋体"/>
                <w:color w:val="000000" w:themeColor="text1"/>
                <w:kern w:val="0"/>
                <w:sz w:val="24"/>
                <w:lang w:val="en-US"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2026.6.1</w:t>
            </w:r>
          </w:p>
        </w:tc>
        <w:tc>
          <w:tcPr>
            <w:tcW w:w="1485" w:type="dxa"/>
            <w:tcBorders>
              <w:right w:val="single" w:color="auto" w:sz="8" w:space="0"/>
            </w:tcBorders>
            <w:vAlign w:val="center"/>
          </w:tcPr>
          <w:p w14:paraId="40DFABAD">
            <w:pPr>
              <w:jc w:val="center"/>
              <w:rPr>
                <w:rFonts w:hint="eastAsia" w:ascii="宋体"/>
                <w:color w:val="000000" w:themeColor="text1"/>
                <w:kern w:val="0"/>
                <w:sz w:val="24"/>
                <w:lang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2026.6.1</w:t>
            </w:r>
          </w:p>
        </w:tc>
        <w:tc>
          <w:tcPr>
            <w:tcW w:w="1656" w:type="dxa"/>
            <w:tcBorders>
              <w:right w:val="single" w:color="auto" w:sz="8" w:space="0"/>
            </w:tcBorders>
            <w:vAlign w:val="center"/>
          </w:tcPr>
          <w:p w14:paraId="32EFFDD9">
            <w:pPr>
              <w:jc w:val="center"/>
              <w:rPr>
                <w:rFonts w:hint="default" w:ascii="宋体"/>
                <w:color w:val="000000" w:themeColor="text1"/>
                <w:kern w:val="0"/>
                <w:sz w:val="24"/>
                <w:lang w:val="en-US" w:eastAsia="zh-CN"/>
                <w14:textFill>
                  <w14:solidFill>
                    <w14:schemeClr w14:val="tx1"/>
                  </w14:solidFill>
                </w14:textFill>
              </w:rPr>
            </w:pPr>
            <w:r>
              <w:rPr>
                <w:rFonts w:hint="eastAsia" w:ascii="宋体" w:hAnsi="宋体" w:eastAsia="宋体" w:cs="宋体"/>
                <w:color w:val="auto"/>
                <w:sz w:val="24"/>
                <w:szCs w:val="24"/>
                <w:highlight w:val="none"/>
                <w:lang w:val="en-US" w:eastAsia="zh-CN"/>
              </w:rPr>
              <w:t>C/0</w:t>
            </w:r>
          </w:p>
        </w:tc>
        <w:tc>
          <w:tcPr>
            <w:tcW w:w="1656" w:type="dxa"/>
            <w:tcBorders>
              <w:left w:val="single" w:color="auto" w:sz="8" w:space="0"/>
              <w:right w:val="single" w:color="auto" w:sz="8" w:space="0"/>
            </w:tcBorders>
            <w:vAlign w:val="center"/>
          </w:tcPr>
          <w:p w14:paraId="55C11A1B">
            <w:pPr>
              <w:jc w:val="center"/>
              <w:rPr>
                <w:rFonts w:hint="default" w:ascii="宋体"/>
                <w:color w:val="000000" w:themeColor="text1"/>
                <w:kern w:val="0"/>
                <w:sz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陈日煌</w:t>
            </w:r>
          </w:p>
        </w:tc>
        <w:tc>
          <w:tcPr>
            <w:tcW w:w="1659" w:type="dxa"/>
            <w:tcBorders>
              <w:left w:val="single" w:color="auto" w:sz="8" w:space="0"/>
            </w:tcBorders>
            <w:vAlign w:val="center"/>
          </w:tcPr>
          <w:p w14:paraId="19D66F26">
            <w:pPr>
              <w:jc w:val="center"/>
              <w:rPr>
                <w:rFonts w:hint="default" w:ascii="宋体"/>
                <w:color w:val="000000" w:themeColor="text1"/>
                <w:kern w:val="0"/>
                <w:sz w:val="24"/>
                <w:lang w:val="en-US" w:eastAsia="zh-CN"/>
                <w14:textFill>
                  <w14:solidFill>
                    <w14:schemeClr w14:val="tx1"/>
                  </w14:solidFill>
                </w14:textFill>
              </w:rPr>
            </w:pPr>
            <w:r>
              <w:rPr>
                <w:rFonts w:hint="eastAsia" w:ascii="宋体"/>
                <w:color w:val="000000" w:themeColor="text1"/>
                <w:kern w:val="0"/>
                <w:sz w:val="24"/>
                <w:lang w:val="en-US" w:eastAsia="zh-CN"/>
                <w14:textFill>
                  <w14:solidFill>
                    <w14:schemeClr w14:val="tx1"/>
                  </w14:solidFill>
                </w14:textFill>
              </w:rPr>
              <w:t>陈立</w:t>
            </w:r>
          </w:p>
        </w:tc>
      </w:tr>
    </w:tbl>
    <w:p w14:paraId="12726E8C">
      <w:pPr>
        <w:spacing w:beforeLines="0" w:afterLines="0" w:line="300" w:lineRule="auto"/>
        <w:jc w:val="center"/>
        <w:rPr>
          <w:rFonts w:hint="eastAsia" w:ascii="宋体" w:hAnsi="宋体" w:eastAsia="宋体" w:cs="宋体"/>
          <w:b/>
          <w:color w:val="000000" w:themeColor="text1"/>
          <w:sz w:val="32"/>
          <w:szCs w:val="24"/>
          <w14:textFill>
            <w14:solidFill>
              <w14:schemeClr w14:val="tx1"/>
            </w14:solidFill>
          </w14:textFill>
        </w:rPr>
      </w:pPr>
    </w:p>
    <w:p w14:paraId="732AF1CC">
      <w:pPr>
        <w:spacing w:beforeLines="0" w:afterLines="0" w:line="300" w:lineRule="auto"/>
        <w:jc w:val="center"/>
        <w:rPr>
          <w:rFonts w:hint="eastAsia" w:ascii="宋体" w:hAnsi="宋体" w:eastAsia="宋体" w:cs="宋体"/>
          <w:b/>
          <w:color w:val="000000" w:themeColor="text1"/>
          <w:sz w:val="32"/>
          <w:szCs w:val="24"/>
          <w14:textFill>
            <w14:solidFill>
              <w14:schemeClr w14:val="tx1"/>
            </w14:solidFill>
          </w14:textFill>
        </w:rPr>
      </w:pPr>
      <w:r>
        <w:rPr>
          <w:rFonts w:ascii="黑体" w:hAnsi="黑体" w:eastAsia="黑体"/>
          <w:color w:val="000000" w:themeColor="text1"/>
          <w:sz w:val="28"/>
          <w14:textFill>
            <w14:solidFill>
              <w14:schemeClr w14:val="tx1"/>
            </w14:solidFill>
          </w14:textFill>
        </w:rPr>
        <mc:AlternateContent>
          <mc:Choice Requires="wps">
            <w:drawing>
              <wp:anchor distT="0" distB="0" distL="114300" distR="114300" simplePos="0" relativeHeight="251661312" behindDoc="1" locked="0" layoutInCell="0" allowOverlap="1">
                <wp:simplePos x="0" y="0"/>
                <wp:positionH relativeFrom="column">
                  <wp:posOffset>888365</wp:posOffset>
                </wp:positionH>
                <wp:positionV relativeFrom="paragraph">
                  <wp:posOffset>8214360</wp:posOffset>
                </wp:positionV>
                <wp:extent cx="5838825" cy="0"/>
                <wp:effectExtent l="0" t="4445" r="0" b="5080"/>
                <wp:wrapNone/>
                <wp:docPr id="9" name="直接连接符 9"/>
                <wp:cNvGraphicFramePr/>
                <a:graphic xmlns:a="http://schemas.openxmlformats.org/drawingml/2006/main">
                  <a:graphicData uri="http://schemas.microsoft.com/office/word/2010/wordprocessingShape">
                    <wps:wsp>
                      <wps:cNvCnPr/>
                      <wps:spPr>
                        <a:xfrm>
                          <a:off x="0" y="0"/>
                          <a:ext cx="5838825" cy="0"/>
                        </a:xfrm>
                        <a:prstGeom prst="line">
                          <a:avLst/>
                        </a:prstGeom>
                        <a:ln w="6096" cap="flat" cmpd="sng">
                          <a:solidFill>
                            <a:srgbClr val="000000">
                              <a:alpha val="0"/>
                            </a:srgbClr>
                          </a:solidFill>
                          <a:prstDash val="solid"/>
                          <a:headEnd type="none" w="med" len="med"/>
                          <a:tailEnd type="none" w="med" len="med"/>
                        </a:ln>
                      </wps:spPr>
                      <wps:bodyPr upright="1"/>
                    </wps:wsp>
                  </a:graphicData>
                </a:graphic>
              </wp:anchor>
            </w:drawing>
          </mc:Choice>
          <mc:Fallback>
            <w:pict>
              <v:line id="_x0000_s1026" o:spid="_x0000_s1026" o:spt="20" style="position:absolute;left:0pt;margin-left:69.95pt;margin-top:646.8pt;height:0pt;width:459.75pt;z-index:-251655168;mso-width-relative:page;mso-height-relative:page;" filled="f" stroked="t" coordsize="21600,21600" o:allowincell="f" o:gfxdata="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JYH6/aAAAADgEAAA8AAAAAAAAAAQAgAAAAIgAAAGRycy9k&#10;b3ducmV2LnhtbFBLAQIUABQAAAAIAIdO4kCRbQX8AAIAAAEEAAAOAAAAAAAAAAEAIAAAACkBAABk&#10;cnMvZTJvRG9jLnhtbFBLBQYAAAAABgAGAFkBAACbBQAAAAA=&#10;">
                <v:fill on="f" focussize="0,0"/>
                <v:stroke weight="0.48pt" color="#000000" opacity="0f" joinstyle="round"/>
                <v:imagedata o:title=""/>
                <o:lock v:ext="edit" aspectratio="f"/>
              </v:line>
            </w:pict>
          </mc:Fallback>
        </mc:AlternateContent>
      </w:r>
      <w:r>
        <w:rPr>
          <w:rFonts w:ascii="黑体" w:hAnsi="黑体" w:eastAsia="黑体"/>
          <w:color w:val="000000" w:themeColor="text1"/>
          <w:sz w:val="28"/>
          <w14:textFill>
            <w14:solidFill>
              <w14:schemeClr w14:val="tx1"/>
            </w14:solidFill>
          </w14:textFill>
        </w:rPr>
        <mc:AlternateContent>
          <mc:Choice Requires="wps">
            <w:drawing>
              <wp:anchor distT="0" distB="0" distL="114300" distR="114300" simplePos="0" relativeHeight="251660288" behindDoc="1" locked="0" layoutInCell="0" allowOverlap="1">
                <wp:simplePos x="0" y="0"/>
                <wp:positionH relativeFrom="column">
                  <wp:posOffset>735965</wp:posOffset>
                </wp:positionH>
                <wp:positionV relativeFrom="paragraph">
                  <wp:posOffset>8061960</wp:posOffset>
                </wp:positionV>
                <wp:extent cx="5838825" cy="0"/>
                <wp:effectExtent l="0" t="6350" r="0" b="6350"/>
                <wp:wrapNone/>
                <wp:docPr id="8" name="直接连接符 8"/>
                <wp:cNvGraphicFramePr/>
                <a:graphic xmlns:a="http://schemas.openxmlformats.org/drawingml/2006/main">
                  <a:graphicData uri="http://schemas.microsoft.com/office/word/2010/wordprocessingShape">
                    <wps:wsp>
                      <wps:cNvCnPr/>
                      <wps:spPr>
                        <a:xfrm>
                          <a:off x="0" y="0"/>
                          <a:ext cx="5838825" cy="0"/>
                        </a:xfrm>
                        <a:prstGeom prst="line">
                          <a:avLst/>
                        </a:prstGeom>
                        <a:ln w="12700" cap="flat" cmpd="sng">
                          <a:solidFill>
                            <a:schemeClr val="accent1">
                              <a:shade val="50000"/>
                              <a:alpha val="0"/>
                            </a:schemeClr>
                          </a:solidFill>
                          <a:prstDash val="solid"/>
                          <a:headEnd type="none" w="med" len="med"/>
                          <a:tailEnd type="none" w="med" len="med"/>
                        </a:ln>
                      </wps:spPr>
                      <wps:bodyPr upright="1"/>
                    </wps:wsp>
                  </a:graphicData>
                </a:graphic>
              </wp:anchor>
            </w:drawing>
          </mc:Choice>
          <mc:Fallback>
            <w:pict>
              <v:line id="_x0000_s1026" o:spid="_x0000_s1026" o:spt="20" style="position:absolute;left:0pt;margin-left:57.95pt;margin-top:634.8pt;height:0pt;width:459.75pt;z-index:-251656192;mso-width-relative:page;mso-height-relative:page;" filled="f" stroked="t" coordsize="21600,21600" o:allowincell="f" o:gfxdata="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uO8s/ZAAAADgEAAA8AAAAAAAAAAQAg&#10;AAAAIgAAAGRycy9kb3ducmV2LnhtbFBLAQIUABQAAAAIAIdO4kCKilXrDQIAABgEAAAOAAAAAAAA&#10;AAEAIAAAACgBAABkcnMvZTJvRG9jLnhtbFBLBQYAAAAABgAGAFkBAACnBQAAAAA=&#10;">
                <v:fill on="f" focussize="0,0"/>
                <v:stroke weight="1pt" color="#385D8A [3204]" opacity="0f" joinstyle="round"/>
                <v:imagedata o:title=""/>
                <o:lock v:ext="edit" aspectratio="f"/>
              </v:line>
            </w:pict>
          </mc:Fallback>
        </mc:AlternateContent>
      </w:r>
    </w:p>
    <w:p w14:paraId="0F2A9D94">
      <w:pPr>
        <w:rPr>
          <w:rFonts w:hint="eastAsia"/>
          <w:color w:val="000000" w:themeColor="text1"/>
          <w14:textFill>
            <w14:solidFill>
              <w14:schemeClr w14:val="tx1"/>
            </w14:solidFill>
          </w14:textFill>
        </w:rPr>
      </w:pPr>
    </w:p>
    <w:p w14:paraId="1A835D8E">
      <w:pPr>
        <w:keepNext w:val="0"/>
        <w:keepLines w:val="0"/>
        <w:pageBreakBefore w:val="0"/>
        <w:widowControl/>
        <w:kinsoku/>
        <w:wordWrap/>
        <w:overflowPunct/>
        <w:topLinePunct w:val="0"/>
        <w:autoSpaceDE/>
        <w:autoSpaceDN/>
        <w:bidi w:val="0"/>
        <w:adjustRightInd/>
        <w:snapToGrid/>
        <w:spacing w:beforeLines="0" w:afterLines="0" w:line="300" w:lineRule="auto"/>
        <w:jc w:val="center"/>
        <w:textAlignment w:val="auto"/>
        <w:outlineLvl w:val="9"/>
        <w:rPr>
          <w:rFonts w:hint="eastAsia" w:ascii="宋体" w:hAnsi="宋体" w:eastAsia="宋体" w:cs="宋体"/>
          <w:b/>
          <w:color w:val="000000" w:themeColor="text1"/>
          <w:sz w:val="32"/>
          <w:szCs w:val="24"/>
          <w14:textFill>
            <w14:solidFill>
              <w14:schemeClr w14:val="tx1"/>
            </w14:solidFill>
          </w14:textFill>
        </w:rPr>
        <w:sectPr>
          <w:headerReference r:id="rId5" w:type="first"/>
          <w:footerReference r:id="rId7" w:type="first"/>
          <w:headerReference r:id="rId4" w:type="default"/>
          <w:footerReference r:id="rId6" w:type="default"/>
          <w:pgSz w:w="11906" w:h="17338"/>
          <w:pgMar w:top="1440" w:right="1286" w:bottom="1440" w:left="1800" w:header="720" w:footer="720" w:gutter="0"/>
          <w:lnNumType w:countBy="0" w:distance="360"/>
          <w:pgNumType w:fmt="numberInDash" w:start="1"/>
          <w:cols w:space="720" w:num="1"/>
          <w:titlePg/>
        </w:sectPr>
      </w:pPr>
    </w:p>
    <w:p w14:paraId="5B7EB0B7">
      <w:pPr>
        <w:keepNext w:val="0"/>
        <w:keepLines w:val="0"/>
        <w:pageBreakBefore w:val="0"/>
        <w:widowControl/>
        <w:kinsoku/>
        <w:wordWrap/>
        <w:overflowPunct/>
        <w:topLinePunct w:val="0"/>
        <w:autoSpaceDE/>
        <w:autoSpaceDN/>
        <w:bidi w:val="0"/>
        <w:adjustRightInd/>
        <w:snapToGrid/>
        <w:spacing w:beforeLines="0" w:afterLines="0" w:line="300" w:lineRule="auto"/>
        <w:jc w:val="center"/>
        <w:textAlignment w:val="auto"/>
        <w:outlineLvl w:val="9"/>
        <w:rPr>
          <w:rFonts w:hint="eastAsia" w:ascii="宋体" w:hAnsi="宋体" w:eastAsia="宋体" w:cs="宋体"/>
          <w:b/>
          <w:color w:val="000000" w:themeColor="text1"/>
          <w:sz w:val="32"/>
          <w:szCs w:val="24"/>
          <w14:textFill>
            <w14:solidFill>
              <w14:schemeClr w14:val="tx1"/>
            </w14:solidFill>
          </w14:textFill>
        </w:rPr>
      </w:pPr>
      <w:r>
        <w:rPr>
          <w:rFonts w:hint="eastAsia" w:ascii="宋体" w:hAnsi="宋体" w:eastAsia="宋体" w:cs="宋体"/>
          <w:b/>
          <w:color w:val="000000" w:themeColor="text1"/>
          <w:sz w:val="32"/>
          <w:szCs w:val="24"/>
          <w14:textFill>
            <w14:solidFill>
              <w14:schemeClr w14:val="tx1"/>
            </w14:solidFill>
          </w14:textFill>
        </w:rPr>
        <w:t>前言</w:t>
      </w:r>
    </w:p>
    <w:p w14:paraId="25D3336F">
      <w:pPr>
        <w:spacing w:beforeLines="0" w:afterLines="0" w:line="300" w:lineRule="auto"/>
        <w:jc w:val="left"/>
        <w:rPr>
          <w:rFonts w:hint="eastAsia" w:ascii="宋体" w:hAnsi="宋体" w:eastAsia="宋体" w:cs="宋体"/>
          <w:b/>
          <w:color w:val="000000" w:themeColor="text1"/>
          <w:sz w:val="23"/>
          <w:szCs w:val="24"/>
          <w14:textFill>
            <w14:solidFill>
              <w14:schemeClr w14:val="tx1"/>
            </w14:solidFill>
          </w14:textFill>
        </w:rPr>
      </w:pPr>
    </w:p>
    <w:p w14:paraId="4054C3E9">
      <w:pPr>
        <w:spacing w:beforeLines="0" w:afterLines="0" w:line="300" w:lineRule="auto"/>
        <w:ind w:firstLine="480" w:firstLineChars="200"/>
        <w:jc w:val="left"/>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业务连续性管理体系认证实施规则是本机构根据中国国家认证认可监督管理委员会（CNCA）和中国合格评定国家认可委员会（CNAS）的相关要求，为适应相关业务连续性管理体系认证业务开展的需求而制定的。它阐明了本机构对业务连续性管理体系认证及有关活动所规定的</w:t>
      </w:r>
      <w:r>
        <w:rPr>
          <w:rFonts w:hint="eastAsia" w:ascii="宋体" w:hAnsi="宋体" w:eastAsia="宋体" w:cs="宋体"/>
          <w:color w:val="000000" w:themeColor="text1"/>
          <w:sz w:val="24"/>
          <w:szCs w:val="24"/>
          <w14:textFill>
            <w14:solidFill>
              <w14:schemeClr w14:val="tx1"/>
            </w14:solidFill>
          </w14:textFill>
        </w:rPr>
        <w:t>条件和要求。</w:t>
      </w:r>
    </w:p>
    <w:p w14:paraId="5837DB3B">
      <w:pPr>
        <w:spacing w:beforeLines="0" w:afterLines="0" w:line="300" w:lineRule="auto"/>
        <w:ind w:firstLine="480" w:firstLineChars="200"/>
        <w:jc w:val="left"/>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主要起草人：陈日煌、何巧琳</w:t>
      </w:r>
    </w:p>
    <w:p w14:paraId="2B6680FD">
      <w:pPr>
        <w:spacing w:beforeLines="0" w:afterLines="0" w:line="300" w:lineRule="auto"/>
        <w:ind w:firstLine="480" w:firstLineChars="200"/>
        <w:jc w:val="left"/>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参与起草人：郑梓彪、刘达宏、简艳萍、黄嘉乐、郭浩盈</w:t>
      </w:r>
    </w:p>
    <w:p w14:paraId="2A82D8D2">
      <w:pPr>
        <w:spacing w:beforeLines="0" w:afterLines="0" w:line="300" w:lineRule="auto"/>
        <w:ind w:firstLine="480" w:firstLineChars="200"/>
        <w:jc w:val="left"/>
        <w:rPr>
          <w:rFonts w:hint="eastAsia" w:ascii="宋体" w:hAnsi="宋体" w:eastAsia="宋体" w:cs="宋体"/>
          <w:color w:val="000000" w:themeColor="text1"/>
          <w:sz w:val="24"/>
          <w:szCs w:val="24"/>
          <w:lang w:eastAsia="zh-CN"/>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本规则的解释权属本机构。</w:t>
      </w:r>
    </w:p>
    <w:p w14:paraId="685B4761">
      <w:pP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br w:type="page"/>
      </w:r>
    </w:p>
    <w:p w14:paraId="20A67302">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color w:val="000000" w:themeColor="text1"/>
          <w:sz w:val="32"/>
          <w:szCs w:val="24"/>
          <w:lang w:eastAsia="zh-CN"/>
          <w14:textFill>
            <w14:solidFill>
              <w14:schemeClr w14:val="tx1"/>
            </w14:solidFill>
          </w14:textFill>
        </w:rPr>
        <w:t>修订记录</w:t>
      </w:r>
    </w:p>
    <w:tbl>
      <w:tblPr>
        <w:tblStyle w:val="11"/>
        <w:tblW w:w="48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3"/>
        <w:gridCol w:w="2203"/>
        <w:gridCol w:w="6295"/>
      </w:tblGrid>
      <w:tr w14:paraId="06933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6" w:hRule="atLeast"/>
          <w:jc w:val="center"/>
        </w:trPr>
        <w:tc>
          <w:tcPr>
            <w:tcW w:w="528" w:type="pct"/>
            <w:noWrap w:val="0"/>
            <w:vAlign w:val="center"/>
          </w:tcPr>
          <w:p w14:paraId="1EE3904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版本</w:t>
            </w:r>
          </w:p>
        </w:tc>
        <w:tc>
          <w:tcPr>
            <w:tcW w:w="1159" w:type="pct"/>
            <w:noWrap w:val="0"/>
            <w:vAlign w:val="center"/>
          </w:tcPr>
          <w:p w14:paraId="092212CC">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修订时间</w:t>
            </w:r>
          </w:p>
        </w:tc>
        <w:tc>
          <w:tcPr>
            <w:tcW w:w="3312" w:type="pct"/>
            <w:noWrap w:val="0"/>
            <w:vAlign w:val="center"/>
          </w:tcPr>
          <w:p w14:paraId="2C265B9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主要修订内容</w:t>
            </w:r>
          </w:p>
        </w:tc>
      </w:tr>
      <w:tr w14:paraId="14D3F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shd w:val="clear" w:color="auto" w:fill="auto"/>
            <w:noWrap w:val="0"/>
            <w:vAlign w:val="center"/>
          </w:tcPr>
          <w:p w14:paraId="128E1B3A">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default"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A/0</w:t>
            </w:r>
          </w:p>
        </w:tc>
        <w:tc>
          <w:tcPr>
            <w:tcW w:w="1159" w:type="pct"/>
            <w:shd w:val="clear" w:color="auto" w:fill="auto"/>
            <w:noWrap w:val="0"/>
            <w:vAlign w:val="center"/>
          </w:tcPr>
          <w:p w14:paraId="29EA6C3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2024年7月1日</w:t>
            </w:r>
          </w:p>
        </w:tc>
        <w:tc>
          <w:tcPr>
            <w:tcW w:w="3312" w:type="pct"/>
            <w:shd w:val="clear" w:color="auto" w:fill="auto"/>
            <w:noWrap w:val="0"/>
            <w:vAlign w:val="center"/>
          </w:tcPr>
          <w:p w14:paraId="01B2D6E8">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auto"/>
                <w:sz w:val="24"/>
                <w:szCs w:val="24"/>
                <w:lang w:val="en-US" w:eastAsia="zh-CN"/>
              </w:rPr>
              <w:t>首次发布</w:t>
            </w:r>
          </w:p>
        </w:tc>
      </w:tr>
      <w:tr w14:paraId="11A1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28" w:type="pct"/>
            <w:shd w:val="clear" w:color="auto" w:fill="auto"/>
            <w:noWrap w:val="0"/>
            <w:vAlign w:val="center"/>
          </w:tcPr>
          <w:p w14:paraId="41B7CCF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default"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B/0</w:t>
            </w:r>
          </w:p>
        </w:tc>
        <w:tc>
          <w:tcPr>
            <w:tcW w:w="1159" w:type="pct"/>
            <w:shd w:val="clear" w:color="auto" w:fill="auto"/>
            <w:noWrap w:val="0"/>
            <w:vAlign w:val="center"/>
          </w:tcPr>
          <w:p w14:paraId="7A147D3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2025年6月10日</w:t>
            </w:r>
          </w:p>
        </w:tc>
        <w:tc>
          <w:tcPr>
            <w:tcW w:w="3312" w:type="pct"/>
            <w:shd w:val="clear" w:color="auto" w:fill="auto"/>
            <w:noWrap w:val="0"/>
            <w:vAlign w:val="center"/>
          </w:tcPr>
          <w:p w14:paraId="3B98BE95">
            <w:pPr>
              <w:keepNext w:val="0"/>
              <w:keepLines w:val="0"/>
              <w:widowControl/>
              <w:kinsoku/>
              <w:wordWrap/>
              <w:overflowPunct/>
              <w:topLinePunct w:val="0"/>
              <w:autoSpaceDE/>
              <w:autoSpaceDN/>
              <w:bidi w:val="0"/>
              <w:adjustRightInd/>
              <w:snapToGrid/>
              <w:spacing w:beforeLines="0" w:afterLines="0" w:line="240" w:lineRule="auto"/>
              <w:jc w:val="left"/>
              <w:textAlignment w:val="auto"/>
              <w:rPr>
                <w:rFonts w:hint="default"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调整排版</w:t>
            </w:r>
          </w:p>
        </w:tc>
      </w:tr>
      <w:tr w14:paraId="6AA62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shd w:val="clear" w:color="auto" w:fill="auto"/>
            <w:noWrap w:val="0"/>
            <w:vAlign w:val="center"/>
          </w:tcPr>
          <w:p w14:paraId="46E44F08">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B/1</w:t>
            </w:r>
          </w:p>
        </w:tc>
        <w:tc>
          <w:tcPr>
            <w:tcW w:w="1159" w:type="pct"/>
            <w:shd w:val="clear" w:color="auto" w:fill="auto"/>
            <w:noWrap w:val="0"/>
            <w:vAlign w:val="center"/>
          </w:tcPr>
          <w:p w14:paraId="17B0302F">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2025年8月25日</w:t>
            </w:r>
          </w:p>
        </w:tc>
        <w:tc>
          <w:tcPr>
            <w:tcW w:w="3312" w:type="pct"/>
            <w:shd w:val="clear" w:color="auto" w:fill="auto"/>
            <w:noWrap w:val="0"/>
            <w:vAlign w:val="center"/>
          </w:tcPr>
          <w:p w14:paraId="45A225DE">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default" w:ascii="宋体" w:hAnsi="宋体" w:eastAsia="宋体" w:cs="宋体"/>
                <w:color w:val="000000" w:themeColor="text1"/>
                <w:sz w:val="24"/>
                <w:szCs w:val="24"/>
                <w:lang w:val="en-US" w:eastAsia="zh-CN"/>
                <w14:textFill>
                  <w14:solidFill>
                    <w14:schemeClr w14:val="tx1"/>
                  </w14:solidFill>
                </w14:textFill>
              </w:rPr>
              <w:t>第5.2.1条款增加人日要求；</w:t>
            </w:r>
          </w:p>
          <w:p w14:paraId="15A3F31A">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default" w:ascii="宋体" w:hAnsi="宋体" w:eastAsia="宋体" w:cs="宋体"/>
                <w:color w:val="000000" w:themeColor="text1"/>
                <w:sz w:val="24"/>
                <w:szCs w:val="24"/>
                <w:lang w:val="en-US" w:eastAsia="zh-CN"/>
                <w14:textFill>
                  <w14:solidFill>
                    <w14:schemeClr w14:val="tx1"/>
                  </w14:solidFill>
                </w14:textFill>
              </w:rPr>
              <w:t>第5.2.3.2 条款增加抽样要求；</w:t>
            </w:r>
          </w:p>
          <w:p w14:paraId="7E575306">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default" w:ascii="宋体" w:hAnsi="宋体" w:eastAsia="宋体" w:cs="宋体"/>
                <w:color w:val="000000" w:themeColor="text1"/>
                <w:sz w:val="24"/>
                <w:szCs w:val="24"/>
                <w:lang w:val="en-US" w:eastAsia="zh-CN"/>
                <w14:textFill>
                  <w14:solidFill>
                    <w14:schemeClr w14:val="tx1"/>
                  </w14:solidFill>
                </w14:textFill>
              </w:rPr>
              <w:t>第8章内容修订，增加证书注销、恢复要求；</w:t>
            </w:r>
          </w:p>
          <w:p w14:paraId="2A6292D3">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default" w:ascii="宋体" w:hAnsi="宋体" w:eastAsia="宋体" w:cs="宋体"/>
                <w:color w:val="000000" w:themeColor="text1"/>
                <w:sz w:val="24"/>
                <w:szCs w:val="24"/>
                <w:lang w:val="en-US" w:eastAsia="zh-CN"/>
                <w14:textFill>
                  <w14:solidFill>
                    <w14:schemeClr w14:val="tx1"/>
                  </w14:solidFill>
                </w14:textFill>
              </w:rPr>
              <w:t>第9章增加认证标志要求；</w:t>
            </w:r>
          </w:p>
          <w:p w14:paraId="40487CC4">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kern w:val="2"/>
                <w:sz w:val="24"/>
                <w:szCs w:val="24"/>
                <w:lang w:val="en-US" w:eastAsia="zh-CN"/>
                <w14:textFill>
                  <w14:solidFill>
                    <w14:schemeClr w14:val="tx1"/>
                  </w14:solidFill>
                </w14:textFill>
              </w:rPr>
            </w:pPr>
            <w:r>
              <w:rPr>
                <w:rFonts w:hint="default" w:ascii="宋体" w:hAnsi="宋体" w:eastAsia="宋体" w:cs="宋体"/>
                <w:color w:val="000000" w:themeColor="text1"/>
                <w:sz w:val="24"/>
                <w:szCs w:val="24"/>
                <w:lang w:val="en-US" w:eastAsia="zh-CN"/>
                <w14:textFill>
                  <w14:solidFill>
                    <w14:schemeClr w14:val="tx1"/>
                  </w14:solidFill>
                </w14:textFill>
              </w:rPr>
              <w:t>增加附件1</w:t>
            </w:r>
            <w:r>
              <w:rPr>
                <w:rFonts w:hint="eastAsia" w:ascii="宋体" w:hAnsi="宋体" w:eastAsia="宋体" w:cs="宋体"/>
                <w:color w:val="000000" w:themeColor="text1"/>
                <w:sz w:val="24"/>
                <w:szCs w:val="24"/>
                <w:lang w:val="en-US" w:eastAsia="zh-CN"/>
                <w14:textFill>
                  <w14:solidFill>
                    <w14:schemeClr w14:val="tx1"/>
                  </w14:solidFill>
                </w14:textFill>
              </w:rPr>
              <w:t>-4内容</w:t>
            </w:r>
            <w:r>
              <w:rPr>
                <w:rFonts w:hint="default" w:ascii="宋体" w:hAnsi="宋体" w:eastAsia="宋体" w:cs="宋体"/>
                <w:color w:val="000000" w:themeColor="text1"/>
                <w:sz w:val="24"/>
                <w:szCs w:val="24"/>
                <w:lang w:val="en-US" w:eastAsia="zh-CN"/>
                <w14:textFill>
                  <w14:solidFill>
                    <w14:schemeClr w14:val="tx1"/>
                  </w14:solidFill>
                </w14:textFill>
              </w:rPr>
              <w:t>。</w:t>
            </w:r>
          </w:p>
        </w:tc>
      </w:tr>
      <w:tr w14:paraId="1CB06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003" w:type="dxa"/>
            <w:noWrap w:val="0"/>
            <w:vAlign w:val="center"/>
          </w:tcPr>
          <w:p w14:paraId="4E6DF3FF">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auto"/>
                <w:sz w:val="24"/>
                <w:szCs w:val="24"/>
                <w:highlight w:val="none"/>
                <w:lang w:val="en-US" w:eastAsia="zh-CN"/>
              </w:rPr>
              <w:t>C/0</w:t>
            </w:r>
          </w:p>
        </w:tc>
        <w:tc>
          <w:tcPr>
            <w:tcW w:w="2203" w:type="dxa"/>
            <w:noWrap w:val="0"/>
            <w:vAlign w:val="center"/>
          </w:tcPr>
          <w:p w14:paraId="2A950305">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auto"/>
                <w:sz w:val="24"/>
                <w:szCs w:val="24"/>
                <w:highlight w:val="none"/>
                <w:lang w:val="en-US" w:eastAsia="zh-CN"/>
              </w:rPr>
              <w:t>2026年6月1日</w:t>
            </w:r>
          </w:p>
        </w:tc>
        <w:tc>
          <w:tcPr>
            <w:tcW w:w="6295" w:type="dxa"/>
            <w:noWrap w:val="0"/>
            <w:vAlign w:val="center"/>
          </w:tcPr>
          <w:p w14:paraId="714E857F">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auto"/>
                <w:sz w:val="24"/>
                <w:szCs w:val="24"/>
                <w:highlight w:val="none"/>
                <w:lang w:val="en-US" w:eastAsia="zh-CN"/>
              </w:rPr>
              <w:t>换版</w:t>
            </w:r>
          </w:p>
        </w:tc>
      </w:tr>
      <w:tr w14:paraId="3CD29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1B1EAAA6">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57C440B0">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51A3E5C7">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6D912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1F4FB22F">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2DC36AA0">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641E24A2">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35076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3ED129B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23768448">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29A077E5">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43E64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534888A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1153F02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3976FBF8">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429D8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129E5F82">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2646337E">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12C4CD27">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7BBD5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414509B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306639BA">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52FBA9DA">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3BA54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29A9A9C0">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79DF760B">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3192C5E9">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0E291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1403EB13">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168BA9E9">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5F3A5125">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2086B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32AD43F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0E6889C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42BFB6D6">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5FDC7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54BCEB1D">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67B4FB36">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447A0E40">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63C92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70644F41">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3EA02449">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02A340DE">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2C352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2CCBC88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7CECBC04">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61F016AB">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r w14:paraId="04398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528" w:type="pct"/>
            <w:noWrap w:val="0"/>
            <w:vAlign w:val="center"/>
          </w:tcPr>
          <w:p w14:paraId="52C0D4C8">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1159" w:type="pct"/>
            <w:noWrap w:val="0"/>
            <w:vAlign w:val="center"/>
          </w:tcPr>
          <w:p w14:paraId="1F86C95D">
            <w:pPr>
              <w:keepNext w:val="0"/>
              <w:keepLines w:val="0"/>
              <w:widowControl/>
              <w:kinsoku/>
              <w:wordWrap/>
              <w:overflowPunct/>
              <w:topLinePunct w:val="0"/>
              <w:autoSpaceDE/>
              <w:autoSpaceDN/>
              <w:bidi w:val="0"/>
              <w:adjustRightInd/>
              <w:snapToGrid/>
              <w:spacing w:beforeLines="0" w:afterLines="0" w:line="240" w:lineRule="auto"/>
              <w:jc w:val="center"/>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c>
          <w:tcPr>
            <w:tcW w:w="3312" w:type="pct"/>
            <w:noWrap w:val="0"/>
            <w:vAlign w:val="center"/>
          </w:tcPr>
          <w:p w14:paraId="72C4D98F">
            <w:pPr>
              <w:keepNext w:val="0"/>
              <w:keepLines w:val="0"/>
              <w:widowControl/>
              <w:kinsoku/>
              <w:wordWrap/>
              <w:overflowPunct/>
              <w:topLinePunct w:val="0"/>
              <w:autoSpaceDE/>
              <w:autoSpaceDN/>
              <w:bidi w:val="0"/>
              <w:adjustRightInd/>
              <w:snapToGrid/>
              <w:spacing w:beforeLines="0" w:afterLines="0" w:line="240" w:lineRule="auto"/>
              <w:jc w:val="both"/>
              <w:textAlignment w:val="auto"/>
              <w:rPr>
                <w:rFonts w:hint="eastAsia" w:ascii="宋体" w:hAnsi="宋体" w:eastAsia="宋体" w:cs="宋体"/>
                <w:color w:val="000000" w:themeColor="text1"/>
                <w:sz w:val="24"/>
                <w:szCs w:val="24"/>
                <w:lang w:val="en-US" w:eastAsia="zh-CN"/>
                <w14:textFill>
                  <w14:solidFill>
                    <w14:schemeClr w14:val="tx1"/>
                  </w14:solidFill>
                </w14:textFill>
              </w:rPr>
            </w:pPr>
          </w:p>
        </w:tc>
      </w:tr>
    </w:tbl>
    <w:p w14:paraId="11890EF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7ED84E4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14:textFill>
            <w14:solidFill>
              <w14:schemeClr w14:val="tx1"/>
            </w14:solidFill>
          </w14:textFill>
        </w:rPr>
      </w:pPr>
    </w:p>
    <w:p w14:paraId="3250614D">
      <w:pPr>
        <w:rPr>
          <w:rFonts w:hint="eastAsia" w:ascii="宋体" w:hAnsi="宋体" w:eastAsia="宋体" w:cs="宋体"/>
          <w:color w:val="000000" w:themeColor="text1"/>
          <w:sz w:val="24"/>
          <w:szCs w:val="24"/>
          <w14:textFill>
            <w14:solidFill>
              <w14:schemeClr w14:val="tx1"/>
            </w14:solidFill>
          </w14:textFill>
        </w:rPr>
      </w:pPr>
    </w:p>
    <w:p w14:paraId="5E97979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ascii="宋体" w:hAnsi="宋体" w:eastAsia="宋体"/>
          <w:b/>
          <w:bCs/>
          <w:color w:val="000000" w:themeColor="text1"/>
          <w:sz w:val="30"/>
          <w:szCs w:val="30"/>
          <w14:textFill>
            <w14:solidFill>
              <w14:schemeClr w14:val="tx1"/>
            </w14:solidFill>
          </w14:textFill>
        </w:rPr>
        <w:sectPr>
          <w:footerReference r:id="rId8" w:type="default"/>
          <w:pgSz w:w="11906" w:h="17338"/>
          <w:pgMar w:top="1134" w:right="1134" w:bottom="1134" w:left="1134" w:header="720" w:footer="720" w:gutter="0"/>
          <w:lnNumType w:countBy="0" w:distance="360"/>
          <w:pgNumType w:fmt="numberInDash" w:start="2"/>
          <w:cols w:space="720" w:num="1"/>
        </w:sectPr>
      </w:pPr>
    </w:p>
    <w:p w14:paraId="5C876D48">
      <w:pPr>
        <w:spacing w:before="0" w:beforeLines="0" w:after="0" w:afterLines="0" w:line="240" w:lineRule="auto"/>
        <w:ind w:left="0" w:leftChars="0" w:right="0" w:rightChars="0" w:firstLine="0" w:firstLineChars="0"/>
        <w:jc w:val="center"/>
        <w:rPr>
          <w:color w:val="000000" w:themeColor="text1"/>
          <w:sz w:val="28"/>
          <w:szCs w:val="28"/>
          <w14:textFill>
            <w14:solidFill>
              <w14:schemeClr w14:val="tx1"/>
            </w14:solidFill>
          </w14:textFill>
        </w:rPr>
      </w:pPr>
      <w:r>
        <w:rPr>
          <w:rFonts w:ascii="宋体" w:hAnsi="宋体" w:eastAsia="宋体"/>
          <w:b/>
          <w:bCs/>
          <w:color w:val="000000" w:themeColor="text1"/>
          <w:sz w:val="28"/>
          <w:szCs w:val="28"/>
          <w14:textFill>
            <w14:solidFill>
              <w14:schemeClr w14:val="tx1"/>
            </w14:solidFill>
          </w14:textFill>
        </w:rPr>
        <w:t>目录</w:t>
      </w:r>
    </w:p>
    <w:p w14:paraId="4547511C">
      <w:pPr>
        <w:pStyle w:val="6"/>
        <w:tabs>
          <w:tab w:val="right" w:leader="dot" w:pos="9638"/>
        </w:tabs>
        <w:rPr>
          <w:sz w:val="24"/>
          <w:szCs w:val="24"/>
        </w:rPr>
      </w:pPr>
      <w:r>
        <w:rPr>
          <w:rFonts w:hint="eastAsia" w:ascii="Times New Roman" w:hAnsi="Times New Roman" w:eastAsia="宋体" w:cs="宋体"/>
          <w:b/>
          <w:bCs/>
          <w:color w:val="000000" w:themeColor="text1"/>
          <w:sz w:val="24"/>
          <w:szCs w:val="24"/>
          <w14:textFill>
            <w14:solidFill>
              <w14:schemeClr w14:val="tx1"/>
            </w14:solidFill>
          </w14:textFill>
        </w:rPr>
        <w:fldChar w:fldCharType="begin"/>
      </w:r>
      <w:r>
        <w:rPr>
          <w:rFonts w:hint="eastAsia" w:ascii="Times New Roman" w:hAnsi="Times New Roman" w:eastAsia="宋体" w:cs="宋体"/>
          <w:b/>
          <w:bCs/>
          <w:color w:val="000000" w:themeColor="text1"/>
          <w:sz w:val="24"/>
          <w:szCs w:val="24"/>
          <w14:textFill>
            <w14:solidFill>
              <w14:schemeClr w14:val="tx1"/>
            </w14:solidFill>
          </w14:textFill>
        </w:rPr>
        <w:instrText xml:space="preserve">TOC \o "1-2" \h \u </w:instrText>
      </w:r>
      <w:r>
        <w:rPr>
          <w:rFonts w:hint="eastAsia" w:ascii="Times New Roman" w:hAnsi="Times New Roman" w:eastAsia="宋体" w:cs="宋体"/>
          <w:b/>
          <w:bCs/>
          <w:color w:val="000000" w:themeColor="text1"/>
          <w:sz w:val="24"/>
          <w:szCs w:val="24"/>
          <w14:textFill>
            <w14:solidFill>
              <w14:schemeClr w14:val="tx1"/>
            </w14:solidFill>
          </w14:textFill>
        </w:rPr>
        <w:fldChar w:fldCharType="separate"/>
      </w: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_Toc30128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lang w:val="en-US" w:eastAsia="zh-CN"/>
        </w:rPr>
        <w:t>1 目的和范围</w:t>
      </w:r>
      <w:r>
        <w:rPr>
          <w:sz w:val="24"/>
          <w:szCs w:val="24"/>
        </w:rPr>
        <w:tab/>
      </w:r>
      <w:r>
        <w:rPr>
          <w:sz w:val="24"/>
          <w:szCs w:val="24"/>
        </w:rPr>
        <w:fldChar w:fldCharType="begin"/>
      </w:r>
      <w:r>
        <w:rPr>
          <w:sz w:val="24"/>
          <w:szCs w:val="24"/>
        </w:rPr>
        <w:instrText xml:space="preserve"> PAGEREF _Toc30128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19F88637">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_Toc32272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lang w:val="en-US" w:eastAsia="zh-CN"/>
        </w:rPr>
        <w:t>2 认证依据</w:t>
      </w:r>
      <w:r>
        <w:rPr>
          <w:sz w:val="24"/>
          <w:szCs w:val="24"/>
        </w:rPr>
        <w:tab/>
      </w:r>
      <w:r>
        <w:rPr>
          <w:sz w:val="24"/>
          <w:szCs w:val="24"/>
        </w:rPr>
        <w:fldChar w:fldCharType="begin"/>
      </w:r>
      <w:r>
        <w:rPr>
          <w:sz w:val="24"/>
          <w:szCs w:val="24"/>
        </w:rPr>
        <w:instrText xml:space="preserve"> PAGEREF _Toc32272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7AB88491">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_Toc28554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lang w:val="en-US" w:eastAsia="zh-CN"/>
        </w:rPr>
        <w:t>3 基本要求</w:t>
      </w:r>
      <w:r>
        <w:rPr>
          <w:sz w:val="24"/>
          <w:szCs w:val="24"/>
        </w:rPr>
        <w:tab/>
      </w:r>
      <w:r>
        <w:rPr>
          <w:sz w:val="24"/>
          <w:szCs w:val="24"/>
        </w:rPr>
        <w:fldChar w:fldCharType="begin"/>
      </w:r>
      <w:r>
        <w:rPr>
          <w:sz w:val="24"/>
          <w:szCs w:val="24"/>
        </w:rPr>
        <w:instrText xml:space="preserve"> PAGEREF _Toc28554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79E18760">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_Toc1343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4对认证审核人员的基本要求</w:t>
      </w:r>
      <w:r>
        <w:rPr>
          <w:sz w:val="24"/>
          <w:szCs w:val="24"/>
        </w:rPr>
        <w:tab/>
      </w:r>
      <w:r>
        <w:rPr>
          <w:sz w:val="24"/>
          <w:szCs w:val="24"/>
        </w:rPr>
        <w:fldChar w:fldCharType="begin"/>
      </w:r>
      <w:r>
        <w:rPr>
          <w:sz w:val="24"/>
          <w:szCs w:val="24"/>
        </w:rPr>
        <w:instrText xml:space="preserve"> PAGEREF _Toc1343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477F9DF2">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_Toc10214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5初次认证程序</w:t>
      </w:r>
      <w:r>
        <w:rPr>
          <w:sz w:val="24"/>
          <w:szCs w:val="24"/>
        </w:rPr>
        <w:tab/>
      </w:r>
      <w:r>
        <w:rPr>
          <w:sz w:val="24"/>
          <w:szCs w:val="24"/>
        </w:rPr>
        <w:fldChar w:fldCharType="begin"/>
      </w:r>
      <w:r>
        <w:rPr>
          <w:sz w:val="24"/>
          <w:szCs w:val="24"/>
        </w:rPr>
        <w:instrText xml:space="preserve"> PAGEREF _Toc10214 \h </w:instrText>
      </w:r>
      <w:r>
        <w:rPr>
          <w:sz w:val="24"/>
          <w:szCs w:val="24"/>
        </w:rPr>
        <w:fldChar w:fldCharType="separate"/>
      </w:r>
      <w:r>
        <w:rPr>
          <w:sz w:val="24"/>
          <w:szCs w:val="24"/>
        </w:rPr>
        <w:t>- 1 -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2118ED06">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_Toc28171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6监督审核</w:t>
      </w:r>
      <w:r>
        <w:rPr>
          <w:sz w:val="24"/>
          <w:szCs w:val="24"/>
        </w:rPr>
        <w:tab/>
      </w:r>
      <w:r>
        <w:rPr>
          <w:sz w:val="24"/>
          <w:szCs w:val="24"/>
        </w:rPr>
        <w:fldChar w:fldCharType="begin"/>
      </w:r>
      <w:r>
        <w:rPr>
          <w:sz w:val="24"/>
          <w:szCs w:val="24"/>
        </w:rPr>
        <w:instrText xml:space="preserve"> PAGEREF _Toc28171 \h </w:instrText>
      </w:r>
      <w:r>
        <w:rPr>
          <w:sz w:val="24"/>
          <w:szCs w:val="24"/>
        </w:rPr>
        <w:fldChar w:fldCharType="separate"/>
      </w:r>
      <w:r>
        <w:rPr>
          <w:sz w:val="24"/>
          <w:szCs w:val="24"/>
        </w:rPr>
        <w:t>- 7 -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6B48A1AC">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_Toc17663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7再认证审核</w:t>
      </w:r>
      <w:r>
        <w:rPr>
          <w:sz w:val="24"/>
          <w:szCs w:val="24"/>
        </w:rPr>
        <w:tab/>
      </w:r>
      <w:r>
        <w:rPr>
          <w:sz w:val="24"/>
          <w:szCs w:val="24"/>
        </w:rPr>
        <w:fldChar w:fldCharType="begin"/>
      </w:r>
      <w:r>
        <w:rPr>
          <w:sz w:val="24"/>
          <w:szCs w:val="24"/>
        </w:rPr>
        <w:instrText xml:space="preserve"> PAGEREF _Toc17663 \h </w:instrText>
      </w:r>
      <w:r>
        <w:rPr>
          <w:sz w:val="24"/>
          <w:szCs w:val="24"/>
        </w:rPr>
        <w:fldChar w:fldCharType="separate"/>
      </w:r>
      <w:r>
        <w:rPr>
          <w:sz w:val="24"/>
          <w:szCs w:val="24"/>
        </w:rPr>
        <w:t>- 8 -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0BC366E5">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_Toc26855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8特殊审核</w:t>
      </w:r>
      <w:r>
        <w:rPr>
          <w:sz w:val="24"/>
          <w:szCs w:val="24"/>
        </w:rPr>
        <w:tab/>
      </w:r>
      <w:r>
        <w:rPr>
          <w:sz w:val="24"/>
          <w:szCs w:val="24"/>
        </w:rPr>
        <w:fldChar w:fldCharType="begin"/>
      </w:r>
      <w:r>
        <w:rPr>
          <w:sz w:val="24"/>
          <w:szCs w:val="24"/>
        </w:rPr>
        <w:instrText xml:space="preserve"> PAGEREF _Toc26855 \h </w:instrText>
      </w:r>
      <w:r>
        <w:rPr>
          <w:sz w:val="24"/>
          <w:szCs w:val="24"/>
        </w:rPr>
        <w:fldChar w:fldCharType="separate"/>
      </w:r>
      <w:r>
        <w:rPr>
          <w:sz w:val="24"/>
          <w:szCs w:val="24"/>
        </w:rPr>
        <w:t>- 8 -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48C06268">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_Toc21526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9不符合项及其验证</w:t>
      </w:r>
      <w:r>
        <w:rPr>
          <w:sz w:val="24"/>
          <w:szCs w:val="24"/>
        </w:rPr>
        <w:tab/>
      </w:r>
      <w:r>
        <w:rPr>
          <w:sz w:val="24"/>
          <w:szCs w:val="24"/>
        </w:rPr>
        <w:fldChar w:fldCharType="begin"/>
      </w:r>
      <w:r>
        <w:rPr>
          <w:sz w:val="24"/>
          <w:szCs w:val="24"/>
        </w:rPr>
        <w:instrText xml:space="preserve"> PAGEREF _Toc21526 \h </w:instrText>
      </w:r>
      <w:r>
        <w:rPr>
          <w:sz w:val="24"/>
          <w:szCs w:val="24"/>
        </w:rPr>
        <w:fldChar w:fldCharType="separate"/>
      </w:r>
      <w:r>
        <w:rPr>
          <w:sz w:val="24"/>
          <w:szCs w:val="24"/>
        </w:rPr>
        <w:t>- 8 -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00F4614E">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_Toc23105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10审核报告</w:t>
      </w:r>
      <w:r>
        <w:rPr>
          <w:sz w:val="24"/>
          <w:szCs w:val="24"/>
        </w:rPr>
        <w:tab/>
      </w:r>
      <w:r>
        <w:rPr>
          <w:sz w:val="24"/>
          <w:szCs w:val="24"/>
        </w:rPr>
        <w:fldChar w:fldCharType="begin"/>
      </w:r>
      <w:r>
        <w:rPr>
          <w:sz w:val="24"/>
          <w:szCs w:val="24"/>
        </w:rPr>
        <w:instrText xml:space="preserve"> PAGEREF _Toc23105 \h </w:instrText>
      </w:r>
      <w:r>
        <w:rPr>
          <w:sz w:val="24"/>
          <w:szCs w:val="24"/>
        </w:rPr>
        <w:fldChar w:fldCharType="separate"/>
      </w:r>
      <w:r>
        <w:rPr>
          <w:sz w:val="24"/>
          <w:szCs w:val="24"/>
        </w:rPr>
        <w:t>- 9 -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30B71574">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_Toc19276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11认证决定</w:t>
      </w:r>
      <w:r>
        <w:rPr>
          <w:sz w:val="24"/>
          <w:szCs w:val="24"/>
        </w:rPr>
        <w:tab/>
      </w:r>
      <w:r>
        <w:rPr>
          <w:sz w:val="24"/>
          <w:szCs w:val="24"/>
        </w:rPr>
        <w:fldChar w:fldCharType="begin"/>
      </w:r>
      <w:r>
        <w:rPr>
          <w:sz w:val="24"/>
          <w:szCs w:val="24"/>
        </w:rPr>
        <w:instrText xml:space="preserve"> PAGEREF _Toc19276 \h </w:instrText>
      </w:r>
      <w:r>
        <w:rPr>
          <w:sz w:val="24"/>
          <w:szCs w:val="24"/>
        </w:rPr>
        <w:fldChar w:fldCharType="separate"/>
      </w:r>
      <w:r>
        <w:rPr>
          <w:sz w:val="24"/>
          <w:szCs w:val="24"/>
        </w:rPr>
        <w:t>- 9 -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6B9576E8">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_Toc7544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12认证证书和认证标志</w:t>
      </w:r>
      <w:r>
        <w:rPr>
          <w:sz w:val="24"/>
          <w:szCs w:val="24"/>
        </w:rPr>
        <w:tab/>
      </w:r>
      <w:r>
        <w:rPr>
          <w:sz w:val="24"/>
          <w:szCs w:val="24"/>
        </w:rPr>
        <w:fldChar w:fldCharType="begin"/>
      </w:r>
      <w:r>
        <w:rPr>
          <w:sz w:val="24"/>
          <w:szCs w:val="24"/>
        </w:rPr>
        <w:instrText xml:space="preserve"> PAGEREF _Toc7544 \h </w:instrText>
      </w:r>
      <w:r>
        <w:rPr>
          <w:sz w:val="24"/>
          <w:szCs w:val="24"/>
        </w:rPr>
        <w:fldChar w:fldCharType="separate"/>
      </w:r>
      <w:r>
        <w:rPr>
          <w:sz w:val="24"/>
          <w:szCs w:val="24"/>
        </w:rPr>
        <w:t>- 10 -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12DA47B4">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_Toc26426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13认证证书的暂停、撤销和注销</w:t>
      </w:r>
      <w:r>
        <w:rPr>
          <w:sz w:val="24"/>
          <w:szCs w:val="24"/>
        </w:rPr>
        <w:tab/>
      </w:r>
      <w:r>
        <w:rPr>
          <w:sz w:val="24"/>
          <w:szCs w:val="24"/>
        </w:rPr>
        <w:fldChar w:fldCharType="begin"/>
      </w:r>
      <w:r>
        <w:rPr>
          <w:sz w:val="24"/>
          <w:szCs w:val="24"/>
        </w:rPr>
        <w:instrText xml:space="preserve"> PAGEREF _Toc26426 \h </w:instrText>
      </w:r>
      <w:r>
        <w:rPr>
          <w:sz w:val="24"/>
          <w:szCs w:val="24"/>
        </w:rPr>
        <w:fldChar w:fldCharType="separate"/>
      </w:r>
      <w:r>
        <w:rPr>
          <w:sz w:val="24"/>
          <w:szCs w:val="24"/>
        </w:rPr>
        <w:t>- 11 -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613A8087">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_Toc30869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14申诉（投诉）处理</w:t>
      </w:r>
      <w:r>
        <w:rPr>
          <w:sz w:val="24"/>
          <w:szCs w:val="24"/>
        </w:rPr>
        <w:tab/>
      </w:r>
      <w:r>
        <w:rPr>
          <w:sz w:val="24"/>
          <w:szCs w:val="24"/>
        </w:rPr>
        <w:fldChar w:fldCharType="begin"/>
      </w:r>
      <w:r>
        <w:rPr>
          <w:sz w:val="24"/>
          <w:szCs w:val="24"/>
        </w:rPr>
        <w:instrText xml:space="preserve"> PAGEREF _Toc30869 \h </w:instrText>
      </w:r>
      <w:r>
        <w:rPr>
          <w:sz w:val="24"/>
          <w:szCs w:val="24"/>
        </w:rPr>
        <w:fldChar w:fldCharType="separate"/>
      </w:r>
      <w:r>
        <w:rPr>
          <w:sz w:val="24"/>
          <w:szCs w:val="24"/>
        </w:rPr>
        <w:t>- 12 -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48BBF72C">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_Toc10834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15信息公开与报告</w:t>
      </w:r>
      <w:r>
        <w:rPr>
          <w:sz w:val="24"/>
          <w:szCs w:val="24"/>
        </w:rPr>
        <w:tab/>
      </w:r>
      <w:r>
        <w:rPr>
          <w:sz w:val="24"/>
          <w:szCs w:val="24"/>
        </w:rPr>
        <w:fldChar w:fldCharType="begin"/>
      </w:r>
      <w:r>
        <w:rPr>
          <w:sz w:val="24"/>
          <w:szCs w:val="24"/>
        </w:rPr>
        <w:instrText xml:space="preserve"> PAGEREF _Toc10834 \h </w:instrText>
      </w:r>
      <w:r>
        <w:rPr>
          <w:sz w:val="24"/>
          <w:szCs w:val="24"/>
        </w:rPr>
        <w:fldChar w:fldCharType="separate"/>
      </w:r>
      <w:r>
        <w:rPr>
          <w:sz w:val="24"/>
          <w:szCs w:val="24"/>
        </w:rPr>
        <w:t>- 13 -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31DBEA76">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_Toc3743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16认证记录</w:t>
      </w:r>
      <w:r>
        <w:rPr>
          <w:sz w:val="24"/>
          <w:szCs w:val="24"/>
        </w:rPr>
        <w:tab/>
      </w:r>
      <w:r>
        <w:rPr>
          <w:sz w:val="24"/>
          <w:szCs w:val="24"/>
        </w:rPr>
        <w:fldChar w:fldCharType="begin"/>
      </w:r>
      <w:r>
        <w:rPr>
          <w:sz w:val="24"/>
          <w:szCs w:val="24"/>
        </w:rPr>
        <w:instrText xml:space="preserve"> PAGEREF _Toc3743 \h </w:instrText>
      </w:r>
      <w:r>
        <w:rPr>
          <w:sz w:val="24"/>
          <w:szCs w:val="24"/>
        </w:rPr>
        <w:fldChar w:fldCharType="separate"/>
      </w:r>
      <w:r>
        <w:rPr>
          <w:sz w:val="24"/>
          <w:szCs w:val="24"/>
        </w:rPr>
        <w:t>- 13 -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42A4F3AB">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_Toc13398 </w:instrText>
      </w:r>
      <w:r>
        <w:rPr>
          <w:rFonts w:hint="eastAsia" w:ascii="Times New Roman" w:hAnsi="Times New Roman" w:eastAsia="宋体" w:cs="宋体"/>
          <w:bCs/>
          <w:sz w:val="24"/>
          <w:szCs w:val="24"/>
        </w:rPr>
        <w:fldChar w:fldCharType="separate"/>
      </w:r>
      <w:r>
        <w:rPr>
          <w:rFonts w:hint="eastAsia" w:ascii="宋体" w:hAnsi="宋体" w:eastAsia="宋体" w:cs="宋体"/>
          <w:sz w:val="24"/>
          <w:szCs w:val="24"/>
          <w:highlight w:val="none"/>
          <w:lang w:val="en-US" w:eastAsia="zh-CN"/>
        </w:rPr>
        <w:t>17其他</w:t>
      </w:r>
      <w:r>
        <w:rPr>
          <w:sz w:val="24"/>
          <w:szCs w:val="24"/>
        </w:rPr>
        <w:tab/>
      </w:r>
      <w:r>
        <w:rPr>
          <w:sz w:val="24"/>
          <w:szCs w:val="24"/>
        </w:rPr>
        <w:fldChar w:fldCharType="begin"/>
      </w:r>
      <w:r>
        <w:rPr>
          <w:sz w:val="24"/>
          <w:szCs w:val="24"/>
        </w:rPr>
        <w:instrText xml:space="preserve"> PAGEREF _Toc13398 \h </w:instrText>
      </w:r>
      <w:r>
        <w:rPr>
          <w:sz w:val="24"/>
          <w:szCs w:val="24"/>
        </w:rPr>
        <w:fldChar w:fldCharType="separate"/>
      </w:r>
      <w:r>
        <w:rPr>
          <w:sz w:val="24"/>
          <w:szCs w:val="24"/>
        </w:rPr>
        <w:t>- 14 -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24BB722D">
      <w:pPr>
        <w:pStyle w:val="6"/>
        <w:tabs>
          <w:tab w:val="right" w:leader="dot" w:pos="9638"/>
        </w:tabs>
        <w:rPr>
          <w:sz w:val="24"/>
          <w:szCs w:val="24"/>
        </w:rPr>
      </w:pPr>
      <w:r>
        <w:rPr>
          <w:rFonts w:hint="eastAsia" w:ascii="Times New Roman" w:hAnsi="Times New Roman" w:eastAsia="宋体" w:cs="宋体"/>
          <w:bCs/>
          <w:color w:val="000000" w:themeColor="text1"/>
          <w:sz w:val="24"/>
          <w:szCs w:val="24"/>
          <w14:textFill>
            <w14:solidFill>
              <w14:schemeClr w14:val="tx1"/>
            </w14:solidFill>
          </w14:textFill>
        </w:rPr>
        <w:fldChar w:fldCharType="begin"/>
      </w:r>
      <w:r>
        <w:rPr>
          <w:rFonts w:hint="eastAsia" w:ascii="Times New Roman" w:hAnsi="Times New Roman" w:eastAsia="宋体" w:cs="宋体"/>
          <w:bCs/>
          <w:sz w:val="24"/>
          <w:szCs w:val="24"/>
        </w:rPr>
        <w:instrText xml:space="preserve"> HYPERLINK \l _Toc19912 </w:instrText>
      </w:r>
      <w:r>
        <w:rPr>
          <w:rFonts w:hint="eastAsia" w:ascii="Times New Roman" w:hAnsi="Times New Roman" w:eastAsia="宋体" w:cs="宋体"/>
          <w:bCs/>
          <w:sz w:val="24"/>
          <w:szCs w:val="24"/>
        </w:rPr>
        <w:fldChar w:fldCharType="separate"/>
      </w:r>
      <w:r>
        <w:rPr>
          <w:rFonts w:hint="eastAsia" w:ascii="宋体" w:hAnsi="宋体" w:eastAsia="宋体" w:cs="宋体"/>
          <w:bCs/>
          <w:sz w:val="24"/>
          <w:szCs w:val="24"/>
          <w:highlight w:val="none"/>
          <w:lang w:val="en-US" w:eastAsia="zh-CN"/>
        </w:rPr>
        <w:t>18附件</w:t>
      </w:r>
      <w:r>
        <w:rPr>
          <w:sz w:val="24"/>
          <w:szCs w:val="24"/>
        </w:rPr>
        <w:tab/>
      </w:r>
      <w:r>
        <w:rPr>
          <w:sz w:val="24"/>
          <w:szCs w:val="24"/>
        </w:rPr>
        <w:fldChar w:fldCharType="begin"/>
      </w:r>
      <w:r>
        <w:rPr>
          <w:sz w:val="24"/>
          <w:szCs w:val="24"/>
        </w:rPr>
        <w:instrText xml:space="preserve"> PAGEREF _Toc19912 \h </w:instrText>
      </w:r>
      <w:r>
        <w:rPr>
          <w:sz w:val="24"/>
          <w:szCs w:val="24"/>
        </w:rPr>
        <w:fldChar w:fldCharType="separate"/>
      </w:r>
      <w:r>
        <w:rPr>
          <w:sz w:val="24"/>
          <w:szCs w:val="24"/>
        </w:rPr>
        <w:t>- 14 -</w:t>
      </w:r>
      <w:r>
        <w:rPr>
          <w:sz w:val="24"/>
          <w:szCs w:val="24"/>
        </w:rPr>
        <w:fldChar w:fldCharType="end"/>
      </w: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0B96183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b/>
          <w:color w:val="000000" w:themeColor="text1"/>
          <w:kern w:val="2"/>
          <w:sz w:val="24"/>
          <w:szCs w:val="24"/>
          <w14:textFill>
            <w14:solidFill>
              <w14:schemeClr w14:val="tx1"/>
            </w14:solidFill>
          </w14:textFill>
        </w:rPr>
        <w:sectPr>
          <w:footerReference r:id="rId9" w:type="default"/>
          <w:pgSz w:w="11906" w:h="17338"/>
          <w:pgMar w:top="1134" w:right="1134" w:bottom="1134" w:left="1134" w:header="720" w:footer="720" w:gutter="0"/>
          <w:lnNumType w:countBy="0" w:distance="360"/>
          <w:pgNumType w:fmt="numberInDash"/>
          <w:cols w:space="720" w:num="1"/>
        </w:sectPr>
      </w:pPr>
      <w:r>
        <w:rPr>
          <w:rFonts w:hint="eastAsia" w:ascii="Times New Roman" w:hAnsi="Times New Roman" w:eastAsia="宋体" w:cs="宋体"/>
          <w:bCs/>
          <w:color w:val="000000" w:themeColor="text1"/>
          <w:sz w:val="24"/>
          <w:szCs w:val="24"/>
          <w14:textFill>
            <w14:solidFill>
              <w14:schemeClr w14:val="tx1"/>
            </w14:solidFill>
          </w14:textFill>
        </w:rPr>
        <w:fldChar w:fldCharType="end"/>
      </w:r>
    </w:p>
    <w:p w14:paraId="48DFD977">
      <w:pPr>
        <w:keepNext w:val="0"/>
        <w:keepLines w:val="0"/>
        <w:pageBreakBefore w:val="0"/>
        <w:widowControl/>
        <w:kinsoku/>
        <w:wordWrap/>
        <w:overflowPunct/>
        <w:topLinePunct w:val="0"/>
        <w:autoSpaceDE/>
        <w:autoSpaceDN/>
        <w:bidi w:val="0"/>
        <w:adjustRightInd/>
        <w:snapToGrid/>
        <w:spacing w:beforeLines="0" w:afterLines="0" w:line="324" w:lineRule="auto"/>
        <w:jc w:val="center"/>
        <w:textAlignment w:val="auto"/>
        <w:outlineLvl w:val="9"/>
        <w:rPr>
          <w:rFonts w:hint="eastAsia" w:ascii="宋体" w:hAnsi="宋体" w:eastAsia="宋体" w:cs="宋体"/>
          <w:b/>
          <w:color w:val="000000" w:themeColor="text1"/>
          <w:sz w:val="36"/>
          <w:szCs w:val="36"/>
          <w14:textFill>
            <w14:solidFill>
              <w14:schemeClr w14:val="tx1"/>
            </w14:solidFill>
          </w14:textFill>
        </w:rPr>
      </w:pPr>
      <w:r>
        <w:rPr>
          <w:rFonts w:hint="eastAsia" w:ascii="宋体" w:hAnsi="宋体" w:eastAsia="宋体" w:cs="宋体"/>
          <w:b/>
          <w:color w:val="000000" w:themeColor="text1"/>
          <w:sz w:val="36"/>
          <w:szCs w:val="36"/>
          <w:lang w:eastAsia="zh-CN"/>
          <w14:textFill>
            <w14:solidFill>
              <w14:schemeClr w14:val="tx1"/>
            </w14:solidFill>
          </w14:textFill>
        </w:rPr>
        <w:t>业务连续性管理体系</w:t>
      </w:r>
      <w:r>
        <w:rPr>
          <w:rFonts w:hint="eastAsia" w:ascii="宋体" w:hAnsi="宋体" w:eastAsia="宋体" w:cs="宋体"/>
          <w:b/>
          <w:color w:val="000000" w:themeColor="text1"/>
          <w:sz w:val="36"/>
          <w:szCs w:val="36"/>
          <w:lang w:val="en-US" w:eastAsia="zh-CN"/>
          <w14:textFill>
            <w14:solidFill>
              <w14:schemeClr w14:val="tx1"/>
            </w14:solidFill>
          </w14:textFill>
        </w:rPr>
        <w:t>认证</w:t>
      </w:r>
      <w:r>
        <w:rPr>
          <w:rFonts w:hint="eastAsia" w:ascii="宋体" w:hAnsi="宋体" w:eastAsia="宋体" w:cs="宋体"/>
          <w:b/>
          <w:color w:val="000000" w:themeColor="text1"/>
          <w:sz w:val="36"/>
          <w:szCs w:val="36"/>
          <w:lang w:eastAsia="zh-CN"/>
          <w14:textFill>
            <w14:solidFill>
              <w14:schemeClr w14:val="tx1"/>
            </w14:solidFill>
          </w14:textFill>
        </w:rPr>
        <w:t>实施规则</w:t>
      </w:r>
    </w:p>
    <w:p w14:paraId="457D4C91">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b/>
          <w:color w:val="000000" w:themeColor="text1"/>
          <w:sz w:val="24"/>
          <w:szCs w:val="24"/>
          <w:lang w:val="en-US" w:eastAsia="zh-CN"/>
          <w14:textFill>
            <w14:solidFill>
              <w14:schemeClr w14:val="tx1"/>
            </w14:solidFill>
          </w14:textFill>
        </w:rPr>
      </w:pPr>
    </w:p>
    <w:p w14:paraId="75814042">
      <w:pPr>
        <w:keepNext w:val="0"/>
        <w:keepLines w:val="0"/>
        <w:widowControl/>
        <w:kinsoku/>
        <w:wordWrap/>
        <w:overflowPunct/>
        <w:topLinePunct w:val="0"/>
        <w:autoSpaceDE/>
        <w:autoSpaceDN/>
        <w:bidi w:val="0"/>
        <w:adjustRightInd/>
        <w:snapToGrid/>
        <w:spacing w:beforeLines="0" w:afterLines="0" w:line="360" w:lineRule="auto"/>
        <w:jc w:val="left"/>
        <w:textAlignment w:val="auto"/>
        <w:outlineLvl w:val="0"/>
        <w:rPr>
          <w:rFonts w:hint="default" w:ascii="宋体" w:hAnsi="宋体" w:eastAsia="宋体" w:cs="宋体"/>
          <w:b/>
          <w:color w:val="000000" w:themeColor="text1"/>
          <w:sz w:val="24"/>
          <w:szCs w:val="24"/>
          <w:lang w:val="en-US" w:eastAsia="zh-CN"/>
          <w14:textFill>
            <w14:solidFill>
              <w14:schemeClr w14:val="tx1"/>
            </w14:solidFill>
          </w14:textFill>
        </w:rPr>
      </w:pPr>
      <w:bookmarkStart w:id="0" w:name="_Toc30128"/>
      <w:bookmarkStart w:id="1" w:name="_Toc20249"/>
      <w:r>
        <w:rPr>
          <w:rFonts w:hint="eastAsia" w:ascii="宋体" w:hAnsi="宋体" w:eastAsia="宋体" w:cs="宋体"/>
          <w:b/>
          <w:color w:val="000000" w:themeColor="text1"/>
          <w:sz w:val="24"/>
          <w:szCs w:val="24"/>
          <w:lang w:val="en-US" w:eastAsia="zh-CN"/>
          <w14:textFill>
            <w14:solidFill>
              <w14:schemeClr w14:val="tx1"/>
            </w14:solidFill>
          </w14:textFill>
        </w:rPr>
        <w:t>1 目的和范围</w:t>
      </w:r>
      <w:bookmarkEnd w:id="0"/>
    </w:p>
    <w:p w14:paraId="51965694">
      <w:pPr>
        <w:keepNext w:val="0"/>
        <w:keepLines w:val="0"/>
        <w:widowControl/>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1.1本规则适用于规范中证信检测认证中心（广东）有限公司（以下简称“公司”）对申请认证和获证的各类组织按照GB/T 30146-2023《安全与韧性 业务连续性管理体系要求》标准建立业务连续性管理体系认证管理活动。</w:t>
      </w:r>
    </w:p>
    <w:p w14:paraId="57EE1518">
      <w:pPr>
        <w:keepNext w:val="0"/>
        <w:keepLines w:val="0"/>
        <w:widowControl/>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2.1本规则依据认证认可相关法律法规，结合相关技术标准，对业务连续性管理体系认证实施过程作出具体规定，明确公司对认证过程的管理责任，保证认证活动的规范有效。</w:t>
      </w:r>
    </w:p>
    <w:p w14:paraId="5E325C51">
      <w:pPr>
        <w:keepNext w:val="0"/>
        <w:keepLines w:val="0"/>
        <w:widowControl/>
        <w:kinsoku/>
        <w:wordWrap/>
        <w:overflowPunct/>
        <w:topLinePunct w:val="0"/>
        <w:autoSpaceDE/>
        <w:autoSpaceDN/>
        <w:bidi w:val="0"/>
        <w:adjustRightInd/>
        <w:snapToGrid/>
        <w:spacing w:beforeLines="0" w:afterLines="0" w:line="360" w:lineRule="auto"/>
        <w:jc w:val="left"/>
        <w:textAlignment w:val="auto"/>
        <w:rPr>
          <w:rFonts w:hint="eastAsia" w:ascii="Calibri" w:hAnsi="Calibri" w:eastAsia="宋体" w:cs="Arial"/>
          <w:color w:val="000000" w:themeColor="text1"/>
          <w:spacing w:val="-4"/>
          <w:sz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3.1本规则是对本公司从事业务连续性管理体系认证活动的基本要求，从事该项认证活动的人</w:t>
      </w:r>
      <w:r>
        <w:rPr>
          <w:rFonts w:hint="eastAsia" w:ascii="Calibri" w:hAnsi="Calibri" w:eastAsia="宋体" w:cs="Arial"/>
          <w:color w:val="000000" w:themeColor="text1"/>
          <w:spacing w:val="-4"/>
          <w:sz w:val="24"/>
          <w14:textFill>
            <w14:solidFill>
              <w14:schemeClr w14:val="tx1"/>
            </w14:solidFill>
          </w14:textFill>
        </w:rPr>
        <w:t>员应当遵守本规则。</w:t>
      </w:r>
    </w:p>
    <w:p w14:paraId="5938445E">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000000" w:themeColor="text1"/>
          <w:sz w:val="24"/>
          <w:szCs w:val="24"/>
          <w:lang w:val="en-US" w:eastAsia="zh-CN"/>
          <w14:textFill>
            <w14:solidFill>
              <w14:schemeClr w14:val="tx1"/>
            </w14:solidFill>
          </w14:textFill>
        </w:rPr>
      </w:pPr>
      <w:bookmarkStart w:id="2" w:name="_Toc32272"/>
      <w:r>
        <w:rPr>
          <w:rFonts w:hint="eastAsia" w:ascii="宋体" w:hAnsi="宋体" w:eastAsia="宋体" w:cs="宋体"/>
          <w:b/>
          <w:color w:val="000000" w:themeColor="text1"/>
          <w:sz w:val="24"/>
          <w:szCs w:val="24"/>
          <w:lang w:val="en-US" w:eastAsia="zh-CN"/>
          <w14:textFill>
            <w14:solidFill>
              <w14:schemeClr w14:val="tx1"/>
            </w14:solidFill>
          </w14:textFill>
        </w:rPr>
        <w:t xml:space="preserve">2 </w:t>
      </w:r>
      <w:bookmarkEnd w:id="1"/>
      <w:r>
        <w:rPr>
          <w:rFonts w:hint="eastAsia" w:ascii="宋体" w:hAnsi="宋体" w:eastAsia="宋体" w:cs="宋体"/>
          <w:b/>
          <w:color w:val="000000" w:themeColor="text1"/>
          <w:sz w:val="24"/>
          <w:szCs w:val="24"/>
          <w:lang w:val="en-US" w:eastAsia="zh-CN"/>
          <w14:textFill>
            <w14:solidFill>
              <w14:schemeClr w14:val="tx1"/>
            </w14:solidFill>
          </w14:textFill>
        </w:rPr>
        <w:t>认证依据</w:t>
      </w:r>
      <w:bookmarkEnd w:id="2"/>
      <w:r>
        <w:rPr>
          <w:rFonts w:hint="eastAsia" w:ascii="宋体" w:hAnsi="宋体" w:eastAsia="宋体" w:cs="宋体"/>
          <w:b/>
          <w:color w:val="000000" w:themeColor="text1"/>
          <w:sz w:val="24"/>
          <w:szCs w:val="24"/>
          <w:lang w:val="en-US" w:eastAsia="zh-CN"/>
          <w14:textFill>
            <w14:solidFill>
              <w14:schemeClr w14:val="tx1"/>
            </w14:solidFill>
          </w14:textFill>
        </w:rPr>
        <w:t xml:space="preserve"> </w:t>
      </w:r>
    </w:p>
    <w:p w14:paraId="46E962B3">
      <w:pPr>
        <w:keepNext w:val="0"/>
        <w:keepLines w:val="0"/>
        <w:widowControl/>
        <w:suppressLineNumbers w:val="0"/>
        <w:spacing w:line="360" w:lineRule="auto"/>
        <w:ind w:firstLine="480" w:firstLineChars="200"/>
        <w:jc w:val="left"/>
        <w:rPr>
          <w:rFonts w:hint="default" w:ascii="宋体" w:hAnsi="宋体" w:eastAsia="宋体" w:cs="宋体"/>
          <w:color w:val="000000" w:themeColor="text1"/>
          <w:kern w:val="0"/>
          <w:sz w:val="24"/>
          <w:szCs w:val="24"/>
          <w:lang w:val="en-US" w:eastAsia="zh-CN" w:bidi="ar"/>
          <w14:textFill>
            <w14:solidFill>
              <w14:schemeClr w14:val="tx1"/>
            </w14:solidFill>
          </w14:textFill>
        </w:rPr>
      </w:pPr>
      <w:bookmarkStart w:id="3" w:name="_Toc22117"/>
      <w:r>
        <w:rPr>
          <w:rFonts w:hint="eastAsia" w:ascii="宋体" w:hAnsi="宋体" w:eastAsia="宋体" w:cs="宋体"/>
          <w:color w:val="000000" w:themeColor="text1"/>
          <w:kern w:val="0"/>
          <w:sz w:val="24"/>
          <w:szCs w:val="24"/>
          <w:lang w:val="en-US" w:eastAsia="zh-CN" w:bidi="ar"/>
          <w14:textFill>
            <w14:solidFill>
              <w14:schemeClr w14:val="tx1"/>
            </w14:solidFill>
          </w14:textFill>
        </w:rPr>
        <w:t>GB/T 30146-2023《安全与韧性 业务连续性管理体系要求》。</w:t>
      </w:r>
    </w:p>
    <w:p w14:paraId="1B662761">
      <w:pPr>
        <w:keepNext w:val="0"/>
        <w:keepLines w:val="0"/>
        <w:widowControl/>
        <w:kinsoku/>
        <w:wordWrap/>
        <w:overflowPunct/>
        <w:topLinePunct w:val="0"/>
        <w:autoSpaceDE/>
        <w:autoSpaceDN/>
        <w:bidi w:val="0"/>
        <w:adjustRightInd/>
        <w:snapToGrid/>
        <w:spacing w:beforeLines="0" w:afterLines="0" w:line="360" w:lineRule="auto"/>
        <w:jc w:val="left"/>
        <w:textAlignment w:val="auto"/>
        <w:outlineLvl w:val="0"/>
        <w:rPr>
          <w:rFonts w:hint="eastAsia" w:ascii="宋体" w:hAnsi="宋体" w:eastAsia="宋体" w:cs="宋体"/>
          <w:color w:val="000000" w:themeColor="text1"/>
          <w:sz w:val="24"/>
          <w:szCs w:val="24"/>
          <w:lang w:val="en-US" w:eastAsia="zh-CN"/>
          <w14:textFill>
            <w14:solidFill>
              <w14:schemeClr w14:val="tx1"/>
            </w14:solidFill>
          </w14:textFill>
        </w:rPr>
      </w:pPr>
      <w:bookmarkStart w:id="4" w:name="_Toc28554"/>
      <w:r>
        <w:rPr>
          <w:rFonts w:hint="eastAsia" w:ascii="宋体" w:hAnsi="宋体" w:eastAsia="宋体" w:cs="宋体"/>
          <w:b/>
          <w:color w:val="000000" w:themeColor="text1"/>
          <w:sz w:val="24"/>
          <w:szCs w:val="24"/>
          <w:lang w:val="en-US" w:eastAsia="zh-CN"/>
          <w14:textFill>
            <w14:solidFill>
              <w14:schemeClr w14:val="tx1"/>
            </w14:solidFill>
          </w14:textFill>
        </w:rPr>
        <w:t xml:space="preserve">3 </w:t>
      </w:r>
      <w:bookmarkEnd w:id="3"/>
      <w:r>
        <w:rPr>
          <w:rFonts w:hint="eastAsia" w:ascii="宋体" w:hAnsi="宋体" w:eastAsia="宋体" w:cs="宋体"/>
          <w:b/>
          <w:color w:val="000000" w:themeColor="text1"/>
          <w:sz w:val="24"/>
          <w:szCs w:val="24"/>
          <w:lang w:val="en-US" w:eastAsia="zh-CN"/>
          <w14:textFill>
            <w14:solidFill>
              <w14:schemeClr w14:val="tx1"/>
            </w14:solidFill>
          </w14:textFill>
        </w:rPr>
        <w:t>基本要求</w:t>
      </w:r>
      <w:bookmarkEnd w:id="4"/>
      <w:r>
        <w:rPr>
          <w:rFonts w:hint="eastAsia" w:ascii="宋体" w:hAnsi="宋体" w:eastAsia="宋体" w:cs="宋体"/>
          <w:b/>
          <w:color w:val="000000" w:themeColor="text1"/>
          <w:sz w:val="24"/>
          <w:szCs w:val="24"/>
          <w:lang w:val="en-US" w:eastAsia="zh-CN"/>
          <w14:textFill>
            <w14:solidFill>
              <w14:schemeClr w14:val="tx1"/>
            </w14:solidFill>
          </w14:textFill>
        </w:rPr>
        <w:t xml:space="preserve"> </w:t>
      </w:r>
    </w:p>
    <w:p w14:paraId="27B5618B">
      <w:pPr>
        <w:keepNext w:val="0"/>
        <w:keepLines w:val="0"/>
        <w:widowControl/>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3.1认证能力、内部管理和工作体系符合认证机构管理办法的相关规定。</w:t>
      </w:r>
    </w:p>
    <w:p w14:paraId="5FD90D95">
      <w:pPr>
        <w:keepNext w:val="0"/>
        <w:keepLines w:val="0"/>
        <w:widowControl/>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3.2建立内部制约、监督和责任机制，实现培训（包括相关增值服务）、审核和作出认证决定等工作环节相互分开，符合认证公正性要求。</w:t>
      </w:r>
    </w:p>
    <w:p w14:paraId="1C9AEC9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3.3不得将申请认证的组织（以下简称申请组织）是否获得认证与参与认证审核的审核员及其他人员的薪酬挂钩。</w:t>
      </w:r>
    </w:p>
    <w:p w14:paraId="4B0543BF">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5" w:name="_Toc1343"/>
      <w:bookmarkStart w:id="6" w:name="_Toc1618"/>
      <w:bookmarkStart w:id="7" w:name="_Toc18260"/>
      <w:bookmarkStart w:id="8" w:name="_Toc13389"/>
      <w:r>
        <w:rPr>
          <w:rFonts w:hint="eastAsia" w:ascii="宋体" w:hAnsi="宋体" w:eastAsia="宋体" w:cs="宋体"/>
          <w:b/>
          <w:color w:val="auto"/>
          <w:sz w:val="24"/>
          <w:szCs w:val="24"/>
          <w:highlight w:val="none"/>
          <w:lang w:val="en-US" w:eastAsia="zh-CN"/>
        </w:rPr>
        <w:t>4对认证审核人员的基本要求</w:t>
      </w:r>
      <w:bookmarkEnd w:id="5"/>
      <w:bookmarkEnd w:id="6"/>
    </w:p>
    <w:p w14:paraId="1BB4FBE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.1认证审核</w:t>
      </w:r>
      <w:r>
        <w:rPr>
          <w:rFonts w:hint="eastAsia" w:ascii="宋体" w:hAnsi="宋体" w:eastAsia="宋体" w:cs="宋体"/>
          <w:color w:val="auto"/>
          <w:sz w:val="24"/>
          <w:szCs w:val="24"/>
          <w:highlight w:val="none"/>
          <w:lang w:val="en-US" w:eastAsia="zh-CN"/>
        </w:rPr>
        <w:t>人员</w:t>
      </w:r>
      <w:r>
        <w:rPr>
          <w:rFonts w:hint="eastAsia" w:ascii="宋体" w:hAnsi="宋体" w:eastAsia="宋体" w:cs="宋体"/>
          <w:color w:val="auto"/>
          <w:sz w:val="24"/>
          <w:szCs w:val="24"/>
          <w:highlight w:val="none"/>
        </w:rPr>
        <w:t>应具备</w:t>
      </w:r>
      <w:r>
        <w:rPr>
          <w:rFonts w:hint="eastAsia" w:ascii="宋体" w:hAnsi="宋体" w:eastAsia="宋体" w:cs="宋体"/>
          <w:color w:val="auto"/>
          <w:sz w:val="24"/>
          <w:szCs w:val="24"/>
          <w:highlight w:val="none"/>
          <w:lang w:val="en-US" w:eastAsia="zh-CN"/>
        </w:rPr>
        <w:t>对应的</w:t>
      </w:r>
      <w:r>
        <w:rPr>
          <w:rFonts w:hint="eastAsia" w:ascii="宋体" w:hAnsi="宋体" w:eastAsia="宋体" w:cs="宋体"/>
          <w:color w:val="auto"/>
          <w:sz w:val="24"/>
          <w:szCs w:val="24"/>
          <w:highlight w:val="none"/>
        </w:rPr>
        <w:t>管理体系认证审核员注册资格</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rPr>
        <w:t>相应的专业能力，符合机构要求的人员任职要求。</w:t>
      </w:r>
    </w:p>
    <w:p w14:paraId="42708D80">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.2认证人员应当遵守与从业相关的法律法规，对认证审核活动及相关认证审核记录和认证审核报告的真实性承担相应的法律责任。</w:t>
      </w:r>
    </w:p>
    <w:p w14:paraId="3A276CD2">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9" w:name="_Toc10478"/>
      <w:bookmarkStart w:id="10" w:name="_Toc10214"/>
      <w:r>
        <w:rPr>
          <w:rFonts w:hint="eastAsia" w:ascii="宋体" w:hAnsi="宋体" w:eastAsia="宋体" w:cs="宋体"/>
          <w:b/>
          <w:color w:val="auto"/>
          <w:sz w:val="24"/>
          <w:szCs w:val="24"/>
          <w:highlight w:val="none"/>
          <w:lang w:val="en-US" w:eastAsia="zh-CN"/>
        </w:rPr>
        <w:t>5初次认证程序</w:t>
      </w:r>
      <w:bookmarkEnd w:id="9"/>
      <w:bookmarkEnd w:id="10"/>
    </w:p>
    <w:p w14:paraId="402FC6F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5.1受理认证申请</w:t>
      </w:r>
    </w:p>
    <w:p w14:paraId="6D72755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5.1.1认证机构应向认证委托人至少公开以下信息：</w:t>
      </w:r>
    </w:p>
    <w:p w14:paraId="4E59855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（1）可开展的认证业务范围，获得认可的情况，以及分包境外认证机构业务的情况；</w:t>
      </w:r>
    </w:p>
    <w:p w14:paraId="5DFB968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（2）开展认证活动所依据的认证标准以及相关的认证方案、认证流程；</w:t>
      </w:r>
    </w:p>
    <w:p w14:paraId="387EA1A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（3）授予、拒绝、保持、更新、暂停（恢复）、注销、撤销认证证书以及扩大或缩小认证范围的程序规定；</w:t>
      </w:r>
    </w:p>
    <w:p w14:paraId="68F6416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（4）拟向认证委托人获取的信息以及保密规定；</w:t>
      </w:r>
    </w:p>
    <w:p w14:paraId="39376AA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（5）认证收费标准；</w:t>
      </w:r>
    </w:p>
    <w:p w14:paraId="0F9FDD0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（6）认证证书、认证标志及相关的使用规定；</w:t>
      </w:r>
    </w:p>
    <w:p w14:paraId="0885589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（7）对认证过程和结果的申诉、投诉规定；</w:t>
      </w:r>
    </w:p>
    <w:p w14:paraId="5E64620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（8）认证标准换版的规定（适用时）；</w:t>
      </w:r>
    </w:p>
    <w:p w14:paraId="2CBC4F9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（9）“提前较短时间通知的审核”的情形；</w:t>
      </w:r>
    </w:p>
    <w:p w14:paraId="1177BAE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（10）其他需要公开的信息。</w:t>
      </w:r>
    </w:p>
    <w:p w14:paraId="12B887F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5.1.2提出认证申请时，认证委托人应具备以下条件：</w:t>
      </w:r>
    </w:p>
    <w:p w14:paraId="1021BBE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（1）取得合法主体资格，并处于有效期内；</w:t>
      </w:r>
    </w:p>
    <w:p w14:paraId="6745C04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（2）取得相关法律法规规定的行政许可（适用时），并处于有效期内；</w:t>
      </w:r>
    </w:p>
    <w:p w14:paraId="5E5C7C3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（3）已按认证标准建立管理体系，且运行满三个月；</w:t>
      </w:r>
    </w:p>
    <w:p w14:paraId="68018B5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（4）因获证组织自身原因被原发证机构暂停或撤销认证证书已满一年（适用时）；</w:t>
      </w:r>
    </w:p>
    <w:p w14:paraId="15FE39B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（5）原管理体系认证证书发证机构被国家认监委撤销认证资质已满三个月（适用时）；</w:t>
      </w:r>
    </w:p>
    <w:p w14:paraId="2B88818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（6）当前未被行政监管部门责令停产停业整顿；</w:t>
      </w:r>
    </w:p>
    <w:p w14:paraId="2938780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（7）当前未列入“国家企业信用信息公示系统”和“信用中国”发布的严重违法失信名单；</w:t>
      </w:r>
    </w:p>
    <w:p w14:paraId="16B0A0D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（8）一年内未发生被行政监管部门责令停产停业整顿的重大质量事故；</w:t>
      </w:r>
    </w:p>
    <w:p w14:paraId="73025BA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（9）一年内申请认证范围内的产品未发生产品质量国家监督抽查不合格，或发生产品质量国家监督抽查不合格但已按相关规定整改合格；</w:t>
      </w:r>
    </w:p>
    <w:p w14:paraId="2C10FBE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（10）其他应具备的条件。</w:t>
      </w:r>
    </w:p>
    <w:p w14:paraId="1B2B6F3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5.1.3公司应要求认证委托人提供以下信息和文件资料：</w:t>
      </w:r>
    </w:p>
    <w:p w14:paraId="00C4BAB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（1）认证申请，包括认证委托人的名称、地址、认证依据的标准、申请的认证范围、认证范围内人员数量及影响体系有效性的外包过程；</w:t>
      </w:r>
    </w:p>
    <w:p w14:paraId="353865F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（2）法律地位的证明文件，当管理体系覆盖多个法律实体时，应提供每个法律实体的法律地位证明文件；</w:t>
      </w:r>
    </w:p>
    <w:p w14:paraId="1653887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（3）申请认证范围所涉及的质量法律法规要求的行政许可文件、资质证书、强制性产品认证证书等；</w:t>
      </w:r>
    </w:p>
    <w:p w14:paraId="63C5136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（4）组织机构及职责；</w:t>
      </w:r>
    </w:p>
    <w:p w14:paraId="45A3E39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（5）生产/服务的流程、班次及轮班情况和季节性信息；</w:t>
      </w:r>
    </w:p>
    <w:p w14:paraId="7A4ED58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（6）管理体系运行满三个月的证据；</w:t>
      </w:r>
    </w:p>
    <w:p w14:paraId="71C2259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（7）一年内所发生的质量事故、与质量相关的行政处罚、产品质量国家监督抽查不合格、其他质量抽查不合格的情况以及整改情况（适用时）；</w:t>
      </w:r>
    </w:p>
    <w:p w14:paraId="148F7A6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（8）其他需要提供的文件。</w:t>
      </w:r>
    </w:p>
    <w:p w14:paraId="49BB0B9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5.1.4公司对认证委托人提交的申请信息和文件资料实施申请评审，仔细鉴别申请信息和文件资料的真伪，确定是否受理认证申请，并保存相应评审记录。</w:t>
      </w:r>
    </w:p>
    <w:p w14:paraId="7FA22D9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5.1.5满足以下条件的，认证机构可以受理认证申请：</w:t>
      </w:r>
    </w:p>
    <w:p w14:paraId="29315AB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（1）认证委托人已具备受理条件（见5.1.2）；</w:t>
      </w:r>
    </w:p>
    <w:p w14:paraId="6687DF3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（2）认证机构具备实施认证的能力；</w:t>
      </w:r>
    </w:p>
    <w:p w14:paraId="30F34A7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（3）双方就认证事宜达成一致。</w:t>
      </w:r>
    </w:p>
    <w:p w14:paraId="36890F4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5.1.6对于新的认证委托人，仅在同时满足下列情况的前提下，认证机构可实施认证转换，否则应按照初次认证开展认证活动：</w:t>
      </w:r>
    </w:p>
    <w:p w14:paraId="5E3AE0D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（1）认证机构具有认证委托人申请认证的管理体系认证范围的认可资格；</w:t>
      </w:r>
    </w:p>
    <w:p w14:paraId="2E884CD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（2）认证委托人持有其他被认可的认证机构（原认证机构）颁发的带认可标识的管理体系认证证书（原认证证书）；</w:t>
      </w:r>
    </w:p>
    <w:p w14:paraId="3BF8852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（3）原认证证书处于有效期内，未被原认证机构实施暂停或撤销；</w:t>
      </w:r>
    </w:p>
    <w:p w14:paraId="3F7B531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（4）原认证机构认证业务正常运行，不存在认可资格到期、被暂停或撤销的问题；</w:t>
      </w:r>
    </w:p>
    <w:p w14:paraId="3046869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（5）认证机构应获得认证委托人初次认证审核报告或最近一次的再认证审核报告、监督审核报告、审核中发现的不符合及其纠正措施。</w:t>
      </w:r>
    </w:p>
    <w:p w14:paraId="1EF07EF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5.1.7认证机构应将申请评审的结果告知认证委托人。</w:t>
      </w:r>
    </w:p>
    <w:p w14:paraId="452B7F7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5.1.8认证合同及相关责任</w:t>
      </w:r>
    </w:p>
    <w:p w14:paraId="446045DD">
      <w:pPr>
        <w:keepNext w:val="0"/>
        <w:keepLines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在实施认证审核前，公司应与申请组织订立具有法律效力的书面认证合同，合同应至少包含以下内容：</w:t>
      </w:r>
    </w:p>
    <w:p w14:paraId="45776C3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（1）申请组织获得认证后持续有效运行建设施工行业质量管理体系的承诺。</w:t>
      </w:r>
    </w:p>
    <w:p w14:paraId="7068258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（2）申请组织对遵守认证认可相关法律法规，协助认证监管部门的监督检查，对有关事项的询问和调查如实提供相关材料和信息的承诺。</w:t>
      </w:r>
    </w:p>
    <w:p w14:paraId="0B98100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（3）申请组织承诺获得认证后发生以下情况时，应及时向认证机构通报：</w:t>
      </w:r>
    </w:p>
    <w:p w14:paraId="09DEA41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①客户及相关方有重大投诉。</w:t>
      </w:r>
    </w:p>
    <w:p w14:paraId="0FF58F9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②生产、销售的产品或提供的服务被质量或市场监管部门认定不合格。</w:t>
      </w:r>
    </w:p>
    <w:p w14:paraId="0E99329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③发生产品和服务的事故。</w:t>
      </w:r>
    </w:p>
    <w:p w14:paraId="1F0D234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④相关情况发生变更，包括：法律地位、生产经营状况、组织状态或所有权变更；取得的行政许可资格、强制性认证或其他资质证书变更；法定代表人、最高管理者变更；生产经营或服务的工作场所变更；管理体系覆盖的活动范围变更；管理体系和重要过程的重大变更等。</w:t>
      </w:r>
    </w:p>
    <w:p w14:paraId="6B655DC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⑤出现影响体系运行的其他重要情况。</w:t>
      </w:r>
    </w:p>
    <w:p w14:paraId="6542EFA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（4）申请组织承诺获得认证后正确使用认证证书、认证标志和有关信息，不利用管理体系证书和相关文字、符号误导公众认为其产品或服务通过认证。</w:t>
      </w:r>
    </w:p>
    <w:p w14:paraId="3BCF556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（5）拟认证的管理体系覆盖的范围。</w:t>
      </w:r>
    </w:p>
    <w:p w14:paraId="099B035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（6）在认证审核实施过程及认证证书有效期内，公司和申请组织各自应当承担的责任、权利和义务。</w:t>
      </w:r>
    </w:p>
    <w:p w14:paraId="6A19DC8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（7）约定认证服务的费用应由认证委托人向公司直接支付、付费方式及违约条款。</w:t>
      </w:r>
    </w:p>
    <w:p w14:paraId="1BD305D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5.2审核方案和审核策划</w:t>
      </w:r>
    </w:p>
    <w:p w14:paraId="2192B62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5.2.1审核方案</w:t>
      </w:r>
    </w:p>
    <w:p w14:paraId="12677E5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5.2.1.1公司针对每一认证委托人建立认证周期内的审核方案，以清晰地识别所需的审核活动。</w:t>
      </w:r>
    </w:p>
    <w:p w14:paraId="44729DF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5.2.1.2初次认证的审核方案应包括两阶段初次认证审核、获证后的监督审核和认证到期前的再认证审核。再认证的审核方案应包括再认证审核、获证后的监督审核和认证到期前的再认证审核。</w:t>
      </w:r>
    </w:p>
    <w:p w14:paraId="5111E69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5.2.1.3初次认证审核和再认证审核是对认证委托人完整体系的审核，应覆盖对应管理体系所有要求，以及认证范围内的典型产品和服务。认证证书有效期内的监督审核累计应覆盖对应管理体系所有要求。</w:t>
      </w:r>
    </w:p>
    <w:p w14:paraId="150A1FC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5.2.1.4初次认证及再认证后的第一次监督审核应在认证证书签发之日起12个月内进行。此后，监督审核间隔不应超过12个月且每个日历年至少有一次监督审核（再认证的年份除外）。</w:t>
      </w:r>
    </w:p>
    <w:p w14:paraId="2DAB4DF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5.2.1.5认证机构应考虑认证委托人不同班次完成的过程，以及其所证实的对每个班次的管理体系控制水平来策划对不同班次实施的审核程度，以确保审核的有效性：</w:t>
      </w:r>
    </w:p>
    <w:p w14:paraId="595B73F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（1）每次审核应至少对其中的一个班次的生产或服务的活动现场进行审核；</w:t>
      </w:r>
    </w:p>
    <w:p w14:paraId="0659734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（2）未审核其他班次生产或服务活动现场的，应记录未审核的理由。</w:t>
      </w:r>
    </w:p>
    <w:p w14:paraId="0D8CA60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5.2.2审核时间</w:t>
      </w:r>
    </w:p>
    <w:p w14:paraId="66559C8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5.2.2.1本公司根据《CCTC-ZD-17-2019审核活动工作人日确定办法》，确定策划和完成有效审核所需的时间，并记录确定的时间及其理由。</w:t>
      </w:r>
    </w:p>
    <w:p w14:paraId="126A26D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5.2.2.2审核时间包括在认证委托人现场的审核时间以及在现场审核以外实施策划、文件审核和编写审核报告等活动的时间。审核时间以人日计，1人日为8小时，不应通过增加工作日的工作小时数以减少审核人日数。如果认证委托人工作日的实际工作时间不足8小时，则应延长现场审核天数以满足审核时间要求。</w:t>
      </w:r>
      <w:r>
        <w:rPr>
          <w:rFonts w:hint="eastAsia" w:ascii="宋体" w:hAnsi="宋体" w:eastAsia="宋体" w:cs="宋体"/>
          <w:color w:val="auto"/>
          <w:sz w:val="24"/>
          <w:szCs w:val="24"/>
          <w:highlight w:val="none"/>
          <w:lang w:val="en-US" w:eastAsia="zh-CN"/>
        </w:rPr>
        <w:tab/>
      </w:r>
    </w:p>
    <w:p w14:paraId="22713AE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5.2.2.2根据申请组织建设施工行业质量管理体系覆盖的活动范围、特性、技术复杂程度、安全风险程度、认证要求、体系覆盖范围内的有效人数和结合审核等情况，核算并拟定完成审核工作需要的时间。每次审核的审核时间确定过程应形成记录，尤其是减少审核时间的理由，减少的审核时间不得超过附件2所规定的审核时间的30％，现场审核时间不得少于所确定的审核时间的80%。如果审核人日计算后结果包括小数，宜将其调整为最接近的半人日数。</w:t>
      </w:r>
    </w:p>
    <w:p w14:paraId="7DF2C5E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5.2.3多场所抽样方案</w:t>
      </w:r>
    </w:p>
    <w:p w14:paraId="6D7CCB3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5.2.3.1多场所抽样应基于与认证委托人活动或过程性质相关的管理体系风险的评价。</w:t>
      </w:r>
    </w:p>
    <w:p w14:paraId="21A7470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5.2.3.2对涵盖相同活动、过程及管理体系风险类型的多个相似场所可进行抽样审核，抽样数量应不少于按以下方法计算的结果：</w:t>
      </w:r>
    </w:p>
    <w:p w14:paraId="7208A3F7">
      <w:pPr>
        <w:spacing w:before="0" w:line="324" w:lineRule="auto"/>
        <w:ind w:left="0"/>
        <w:jc w:val="left"/>
        <w:rPr>
          <w:rFonts w:hint="default" w:ascii="宋体" w:hAnsi="宋体" w:eastAsia="宋体" w:cs="宋体"/>
          <w:color w:val="auto"/>
          <w:sz w:val="24"/>
          <w:szCs w:val="24"/>
          <w:highlight w:val="none"/>
          <w:lang w:val="en-US" w:eastAsia="zh-CN"/>
        </w:rPr>
      </w:pPr>
      <w:r>
        <w:rPr>
          <w:rFonts w:ascii="宋体" w:hAnsi="宋体" w:eastAsia="宋体" w:cs="宋体"/>
          <w:color w:val="auto"/>
          <w:spacing w:val="0"/>
          <w:sz w:val="24"/>
          <w:szCs w:val="24"/>
          <w:highlight w:val="none"/>
          <w:lang w:val="en-US" w:eastAsia="zh-CN"/>
        </w:rPr>
        <w:t>（1）初次认证审核：Y</w:t>
      </w:r>
      <w:r>
        <w:rPr>
          <w:rFonts w:hint="eastAsia" w:ascii="宋体" w:hAnsi="宋体" w:eastAsia="宋体" w:cs="宋体"/>
          <w:color w:val="auto"/>
          <w:spacing w:val="0"/>
          <w:sz w:val="24"/>
          <w:szCs w:val="24"/>
          <w:highlight w:val="none"/>
          <w:lang w:val="en-US" w:eastAsia="zh-CN"/>
        </w:rPr>
        <w:t>=</w:t>
      </w:r>
      <m:oMath>
        <m:rad>
          <m:radPr>
            <m:degHide m:val="1"/>
            <m:ctrlPr>
              <w:rPr>
                <w:rFonts w:ascii="Cambria Math" w:hAnsi="Cambria Math" w:eastAsia="宋体" w:cs="宋体"/>
                <w:i w:val="0"/>
                <w:color w:val="auto"/>
                <w:position w:val="0"/>
                <w:sz w:val="24"/>
                <w:szCs w:val="24"/>
                <w:highlight w:val="none"/>
                <w:lang w:val="en-US" w:eastAsia="zh-CN"/>
              </w:rPr>
            </m:ctrlPr>
          </m:radPr>
          <m:deg>
            <m:ctrlPr>
              <w:rPr>
                <w:rFonts w:ascii="Cambria Math" w:hAnsi="Cambria Math" w:eastAsia="宋体" w:cs="宋体"/>
                <w:i w:val="0"/>
                <w:color w:val="auto"/>
                <w:position w:val="0"/>
                <w:sz w:val="24"/>
                <w:szCs w:val="24"/>
                <w:highlight w:val="none"/>
                <w:lang w:val="en-US" w:eastAsia="zh-CN"/>
              </w:rPr>
            </m:ctrlPr>
          </m:deg>
          <m:e>
            <m:r>
              <m:rPr>
                <m:sty m:val="p"/>
              </m:rPr>
              <w:rPr>
                <w:rFonts w:hint="eastAsia" w:ascii="Cambria Math" w:hAnsi="Cambria Math" w:eastAsia="宋体" w:cs="宋体"/>
                <w:color w:val="auto"/>
                <w:position w:val="0"/>
                <w:sz w:val="24"/>
                <w:szCs w:val="24"/>
                <w:highlight w:val="none"/>
                <w:lang w:val="en-US" w:eastAsia="zh-CN"/>
              </w:rPr>
              <m:t>X</m:t>
            </m:r>
            <m:ctrlPr>
              <w:rPr>
                <w:rFonts w:ascii="Cambria Math" w:hAnsi="Cambria Math" w:eastAsia="宋体" w:cs="宋体"/>
                <w:i w:val="0"/>
                <w:color w:val="auto"/>
                <w:position w:val="0"/>
                <w:sz w:val="24"/>
                <w:szCs w:val="24"/>
                <w:highlight w:val="none"/>
                <w:lang w:val="en-US" w:eastAsia="zh-CN"/>
              </w:rPr>
            </m:ctrlPr>
          </m:e>
        </m:rad>
      </m:oMath>
    </w:p>
    <w:p w14:paraId="049FDB0A">
      <w:pPr>
        <w:spacing w:before="0" w:line="324" w:lineRule="auto"/>
        <w:ind w:left="0"/>
        <w:jc w:val="left"/>
        <w:rPr>
          <w:rFonts w:hAnsi="宋体" w:eastAsia="宋体" w:cs="宋体"/>
          <w:i w:val="0"/>
          <w:color w:val="auto"/>
          <w:position w:val="0"/>
          <w:sz w:val="24"/>
          <w:szCs w:val="24"/>
          <w:highlight w:val="none"/>
          <w:lang w:val="en-US" w:eastAsia="zh-CN"/>
        </w:rPr>
      </w:pPr>
      <w:r>
        <w:rPr>
          <w:rFonts w:ascii="宋体" w:hAnsi="宋体" w:eastAsia="宋体" w:cs="宋体"/>
          <w:color w:val="auto"/>
          <w:spacing w:val="0"/>
          <w:sz w:val="24"/>
          <w:szCs w:val="24"/>
          <w:highlight w:val="none"/>
          <w:lang w:val="en-US" w:eastAsia="zh-CN"/>
        </w:rPr>
        <w:t>（2）监督审核：Y</w:t>
      </w:r>
      <w:r>
        <w:rPr>
          <w:rFonts w:hint="eastAsia" w:ascii="宋体" w:hAnsi="宋体" w:eastAsia="宋体" w:cs="宋体"/>
          <w:color w:val="auto"/>
          <w:spacing w:val="0"/>
          <w:sz w:val="24"/>
          <w:szCs w:val="24"/>
          <w:highlight w:val="none"/>
          <w:lang w:val="en-US" w:eastAsia="zh-CN"/>
        </w:rPr>
        <w:t>=</w:t>
      </w:r>
      <m:oMath>
        <m:rad>
          <m:radPr>
            <m:degHide m:val="1"/>
            <m:ctrlPr>
              <w:rPr>
                <w:rFonts w:ascii="Cambria Math" w:hAnsi="Cambria Math" w:eastAsia="宋体" w:cs="宋体"/>
                <w:i w:val="0"/>
                <w:color w:val="auto"/>
                <w:position w:val="0"/>
                <w:sz w:val="24"/>
                <w:szCs w:val="24"/>
                <w:highlight w:val="none"/>
                <w:lang w:val="en-US" w:eastAsia="zh-CN"/>
              </w:rPr>
            </m:ctrlPr>
          </m:radPr>
          <m:deg>
            <m:ctrlPr>
              <w:rPr>
                <w:rFonts w:ascii="Cambria Math" w:hAnsi="Cambria Math" w:eastAsia="宋体" w:cs="宋体"/>
                <w:i w:val="0"/>
                <w:color w:val="auto"/>
                <w:position w:val="0"/>
                <w:sz w:val="24"/>
                <w:szCs w:val="24"/>
                <w:highlight w:val="none"/>
                <w:lang w:val="en-US" w:eastAsia="zh-CN"/>
              </w:rPr>
            </m:ctrlPr>
          </m:deg>
          <m:e>
            <m:r>
              <m:rPr>
                <m:sty m:val="p"/>
              </m:rPr>
              <w:rPr>
                <w:rFonts w:hint="eastAsia" w:ascii="Cambria Math" w:hAnsi="Cambria Math" w:eastAsia="宋体" w:cs="宋体"/>
                <w:color w:val="auto"/>
                <w:position w:val="0"/>
                <w:sz w:val="24"/>
                <w:szCs w:val="24"/>
                <w:highlight w:val="none"/>
                <w:lang w:val="en-US" w:eastAsia="zh-CN"/>
              </w:rPr>
              <m:t>X</m:t>
            </m:r>
            <m:ctrlPr>
              <w:rPr>
                <w:rFonts w:ascii="Cambria Math" w:hAnsi="Cambria Math" w:eastAsia="宋体" w:cs="宋体"/>
                <w:i w:val="0"/>
                <w:color w:val="auto"/>
                <w:position w:val="0"/>
                <w:sz w:val="24"/>
                <w:szCs w:val="24"/>
                <w:highlight w:val="none"/>
                <w:lang w:val="en-US" w:eastAsia="zh-CN"/>
              </w:rPr>
            </m:ctrlPr>
          </m:e>
        </m:rad>
      </m:oMath>
    </w:p>
    <w:p w14:paraId="05CA4CCE">
      <w:pPr>
        <w:spacing w:before="0" w:line="324" w:lineRule="auto"/>
        <w:ind w:left="0"/>
        <w:jc w:val="left"/>
        <w:rPr>
          <w:color w:val="auto"/>
          <w:sz w:val="31"/>
          <w:szCs w:val="31"/>
          <w:highlight w:val="none"/>
        </w:rPr>
      </w:pPr>
      <w:r>
        <w:rPr>
          <w:rFonts w:ascii="宋体" w:hAnsi="宋体" w:eastAsia="宋体" w:cs="宋体"/>
          <w:color w:val="auto"/>
          <w:spacing w:val="0"/>
          <w:sz w:val="24"/>
          <w:szCs w:val="24"/>
          <w:highlight w:val="none"/>
          <w:lang w:val="en-US" w:eastAsia="zh-CN"/>
        </w:rPr>
        <w:t>（3）再认证审核：Y</w:t>
      </w:r>
      <w:r>
        <w:rPr>
          <w:rFonts w:hint="eastAsia" w:ascii="宋体" w:hAnsi="宋体" w:eastAsia="宋体" w:cs="宋体"/>
          <w:color w:val="auto"/>
          <w:spacing w:val="0"/>
          <w:sz w:val="24"/>
          <w:szCs w:val="24"/>
          <w:highlight w:val="none"/>
          <w:lang w:val="en-US" w:eastAsia="zh-CN"/>
        </w:rPr>
        <w:t>=</w:t>
      </w:r>
      <m:oMath>
        <m:rad>
          <m:radPr>
            <m:degHide m:val="1"/>
            <m:ctrlPr>
              <w:rPr>
                <w:rFonts w:ascii="Cambria Math" w:hAnsi="Cambria Math" w:eastAsia="宋体" w:cs="宋体"/>
                <w:i w:val="0"/>
                <w:color w:val="auto"/>
                <w:position w:val="0"/>
                <w:sz w:val="24"/>
                <w:szCs w:val="24"/>
                <w:highlight w:val="none"/>
                <w:lang w:val="en-US" w:eastAsia="zh-CN"/>
              </w:rPr>
            </m:ctrlPr>
          </m:radPr>
          <m:deg>
            <m:ctrlPr>
              <w:rPr>
                <w:rFonts w:ascii="Cambria Math" w:hAnsi="Cambria Math" w:eastAsia="宋体" w:cs="宋体"/>
                <w:i w:val="0"/>
                <w:color w:val="auto"/>
                <w:position w:val="0"/>
                <w:sz w:val="24"/>
                <w:szCs w:val="24"/>
                <w:highlight w:val="none"/>
                <w:lang w:val="en-US" w:eastAsia="zh-CN"/>
              </w:rPr>
            </m:ctrlPr>
          </m:deg>
          <m:e>
            <m:r>
              <m:rPr>
                <m:sty m:val="p"/>
              </m:rPr>
              <w:rPr>
                <w:rFonts w:hint="eastAsia" w:ascii="Cambria Math" w:hAnsi="Cambria Math" w:eastAsia="宋体" w:cs="宋体"/>
                <w:color w:val="auto"/>
                <w:position w:val="0"/>
                <w:sz w:val="24"/>
                <w:szCs w:val="24"/>
                <w:highlight w:val="none"/>
                <w:lang w:val="en-US" w:eastAsia="zh-CN"/>
              </w:rPr>
              <m:t>X</m:t>
            </m:r>
            <m:ctrlPr>
              <w:rPr>
                <w:rFonts w:ascii="Cambria Math" w:hAnsi="Cambria Math" w:eastAsia="宋体" w:cs="宋体"/>
                <w:i w:val="0"/>
                <w:color w:val="auto"/>
                <w:position w:val="0"/>
                <w:sz w:val="24"/>
                <w:szCs w:val="24"/>
                <w:highlight w:val="none"/>
                <w:lang w:val="en-US" w:eastAsia="zh-CN"/>
              </w:rPr>
            </m:ctrlPr>
          </m:e>
        </m:rad>
      </m:oMath>
    </w:p>
    <w:p w14:paraId="03C846C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注：其中Y为抽样的数量，结果向上取整；X为相似场所的总体数量。</w:t>
      </w:r>
    </w:p>
    <w:p w14:paraId="3EA1222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5.2.3.3对多个非相似场所，则不应抽样，初审和再认证审核应当逐一到各场所进行审核。监督审核应抽取不少于30%的场所进行审核，且每次审核均应包括中心职能部门。第二次监督审核选取的场所通常不同于第一次监督审核所选取的场所。</w:t>
      </w:r>
    </w:p>
    <w:p w14:paraId="66CA815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5.2.3.4分场所审核人日的计算方法参见5.2.1，且现场审核时间不得少于依据附件2所确定的现场审核时间的50%。</w:t>
      </w:r>
    </w:p>
    <w:p w14:paraId="760FE33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5.2.4审核组</w:t>
      </w:r>
    </w:p>
    <w:p w14:paraId="76DFB3B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5.2.4.1公司将根据认证活动的需要选择具备相关能力的审核员组成审核组，至少1名实施第一阶段审核的审核员应参加第二阶段审核，每个审核组应包括：</w:t>
      </w:r>
    </w:p>
    <w:p w14:paraId="7B4DF6C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（1）审核组长：审核组长应当具有管理和领导审核组达成审核目标的知识和技能，其能力应至少满足GB/T 19011《管理体系审核指南》中对审核组长的通用要求；</w:t>
      </w:r>
    </w:p>
    <w:p w14:paraId="18D4280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（2）至少1名与认证委托人所属认证业务范围相匹配的专业人员（专业领域审核员或技术专家）。</w:t>
      </w:r>
    </w:p>
    <w:p w14:paraId="2E1289D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（3）至少1名认证机构的专职审核员，并确保专职审核员全程参与审核过程。</w:t>
      </w:r>
    </w:p>
    <w:p w14:paraId="361D33B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5.2.4.2技术专家主要负责为审核组提供技术支持，不作为审核员实施审核，不计入审核时间。</w:t>
      </w:r>
    </w:p>
    <w:p w14:paraId="3198D0B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5.2.4.3实习审核员不能独立组成审核组，应在正式审核员的指导下参加审核，不计入审核时间，其在审核过程中的活动由负责指导的正式审核员承担责任。审核组中实习审核员的数量不得超过正式审核员的数量。</w:t>
      </w:r>
    </w:p>
    <w:p w14:paraId="57C45B8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5.2.4.4审核组成员不得与认证委托人存在利益关系。</w:t>
      </w:r>
    </w:p>
    <w:p w14:paraId="4282741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5.2.5审核计划</w:t>
      </w:r>
    </w:p>
    <w:p w14:paraId="78E1E8C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5.2.5.1公司应为每次审核制定书面的审核计划。审核计划至少包括以下内容：审核目的、审核准则、审核范围、现场审核的日期、时间安排和场所、审核组成员及审核任务安排。其中，审核员应注明对应管理体系审核员注册号，专业领域审核员和技术专家应标明专业代码，兼职审核员和在职技术专家应注明工作单位。</w:t>
      </w:r>
    </w:p>
    <w:p w14:paraId="34B2492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5.2.5.2现场审核应安排在认证委托人的生产或服务处于正常运行时进行。</w:t>
      </w:r>
    </w:p>
    <w:p w14:paraId="2F6BDA9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5.2.5.3现场审核开始前，应将审核计划提交给认证委托人并经其确认。如需要临时调整审核计划，应经双方协商一致后实施。</w:t>
      </w:r>
    </w:p>
    <w:p w14:paraId="3CBF061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5.3实施审核</w:t>
      </w:r>
    </w:p>
    <w:p w14:paraId="16BB0F7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5.3.1认证审核应在认证委托人的现场实施，包括初次认证审核以及认证周期内的每年度的监督审核、再认证审核和特殊审核。</w:t>
      </w:r>
    </w:p>
    <w:p w14:paraId="5D082F6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5.3.2审核组应按照审核计划实施审核，并采用中文记录审核过程，可补充使用图片/音像作为记录。</w:t>
      </w:r>
    </w:p>
    <w:p w14:paraId="34F7244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5.3.3审核组应会同认证委托人召开首、末次会议，认证委托人的最高管理者、对应管理体系相关职能部门负责人应参加首、末次会议，并保留首、末次会议签到记录、图片/音像证明材料。认证委托人的最高管理者不能参加首、末次会议的，应由获得书面授权的其他高级管理层成员参会，审核组应记录最高管理者缺席理由。</w:t>
      </w:r>
    </w:p>
    <w:p w14:paraId="2938575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5.3.4审核组应通过面对面访谈等形式，对认证委托人的最高管理者在管理体系中发挥领导作用的情况进行重点审核，并保留现场图片/音像、审核记录等证明材料。最高管理者不熟悉组织自身的质量方针、质量目标，未亲自参与并推动管理体系实施的，认证审核应不予通过。</w:t>
      </w:r>
    </w:p>
    <w:p w14:paraId="05565BA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5.3.5发生下列情况的，审核组应向认证机构报告后终止审核：</w:t>
      </w:r>
    </w:p>
    <w:p w14:paraId="57A510C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（1）认证委托人对审核活动不予配合，审核活动无法进行；</w:t>
      </w:r>
    </w:p>
    <w:p w14:paraId="3CA125A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（2）认证委托人的最高管理者或经授权的高级管理层成员缺席首、末次会议；</w:t>
      </w:r>
    </w:p>
    <w:p w14:paraId="65E6768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（3）认证委托人实际情况与申请材料有重大不一致；</w:t>
      </w:r>
    </w:p>
    <w:p w14:paraId="572F1B6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（4）其他导致审核程序无法完成的情况。</w:t>
      </w:r>
    </w:p>
    <w:p w14:paraId="55B430B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5.4初次认证审核</w:t>
      </w:r>
    </w:p>
    <w:p w14:paraId="381C32E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5.4.1初次认证审核应分为两个阶段实施：第一阶段审核和第二阶段审核。两个阶段审核时间间隔最短不应少于5日，最长不应超过6个月。如需要更长的时间间隔，应重新实施第一阶段审核。</w:t>
      </w:r>
    </w:p>
    <w:p w14:paraId="03202D7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5.4.2第一阶段审核：</w:t>
      </w:r>
    </w:p>
    <w:p w14:paraId="2E01D61F">
      <w:pPr>
        <w:keepNext w:val="0"/>
        <w:keepLines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第一阶段审核的目的是通过了解认证委托人的管理体系和其对第二阶段的准备情况，确定其是否具备接受第二阶段审核的条件并策划第二阶段审核的关注点。第一阶段审核的内容包括但不限于以下方面：</w:t>
      </w:r>
    </w:p>
    <w:p w14:paraId="77ED3DE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（1）了解认证委托人的情况，包括其活动、产品和服务、设施设备、工艺流程、现场运作以及适用的质量标准；</w:t>
      </w:r>
    </w:p>
    <w:p w14:paraId="00C66DF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（2）评审认证委托人管理体系文件，确认其与认证委托人业务活动及产品和服务相吻合；</w:t>
      </w:r>
    </w:p>
    <w:p w14:paraId="2FBDA39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（3）确认认证委托人申请信息和文件资料的真实性；</w:t>
      </w:r>
    </w:p>
    <w:p w14:paraId="3530436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（4）审核认证委托人理解和实施对应管理体系标准的情况，特别是对关键绩效、过程和运行及体系目标识别情况；</w:t>
      </w:r>
    </w:p>
    <w:p w14:paraId="5D630C5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（5）确认认证委托人是否为第二阶段审核做好准备，已实施了内部审核和管理评审；</w:t>
      </w:r>
    </w:p>
    <w:p w14:paraId="7AD8094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（6）确认认证委托人管理体系认证范围、体系覆盖范围内有效人数和场所；</w:t>
      </w:r>
    </w:p>
    <w:p w14:paraId="0D5DD91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（7）认证委托人的产品和服务符合质量相关法律法规及强制性标准的情况。</w:t>
      </w:r>
    </w:p>
    <w:p w14:paraId="1E81632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5.4.2.1为达到第一阶段审核的目的和要求，除下列情况外，第一阶段审核应在认证委托人现场实施：</w:t>
      </w:r>
    </w:p>
    <w:p w14:paraId="60604AD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（1）认证委托人已获本公司颁发的其他领域的有效认证证书，公司已对认证委托人管理体系有充分了解；</w:t>
      </w:r>
    </w:p>
    <w:p w14:paraId="2296E63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（2）认证委托人获得了经认可机构认可的其他认证机构颁发的对应有效的管理体系认证证书，通过对其文件和资料的审核可以达到第一阶段审核的目的和要求。</w:t>
      </w:r>
    </w:p>
    <w:p w14:paraId="1CB5BB0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5.4.2.2公司应记录未在现场进行第一阶段审核的理由。</w:t>
      </w:r>
    </w:p>
    <w:p w14:paraId="2B42523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5.4.2.3公司应将认证委托人是否具备第二阶段审核条件的结论书面告知认证委托人，包括所识别的需引起关注的、在第二阶段可能被判定为不符合的问题。</w:t>
      </w:r>
    </w:p>
    <w:p w14:paraId="451DB38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5.4.2.4公司通过第一阶段审核发现相关申请信息和文件资料存在虚假情况的，应终止认证活动。</w:t>
      </w:r>
    </w:p>
    <w:p w14:paraId="743F078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5.4.3第二阶段审核：</w:t>
      </w:r>
    </w:p>
    <w:p w14:paraId="36F2E1B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5.4.3.1第二阶段审核的目的是评价认证委托人相关管理体系的实施情况，包括对相关管理体系标准要求的符合性和体系的有效性。</w:t>
      </w:r>
    </w:p>
    <w:p w14:paraId="463CF0A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5.4.3.2第二阶段审核应在认证委托人的现场实施，至少覆盖以下内容：</w:t>
      </w:r>
    </w:p>
    <w:p w14:paraId="06019F9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（1）认证委托人对应管理体系标准的符合情况及证据；</w:t>
      </w:r>
    </w:p>
    <w:p w14:paraId="03D4EC1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（2）依据管理体系关键绩效、目标和指标，对绩效进行的监视、测量、报告和评审；</w:t>
      </w:r>
    </w:p>
    <w:p w14:paraId="5B52F44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（3）认证委托人实施管理体系的能力以及在符合适用法律法规要求方面的绩效；</w:t>
      </w:r>
    </w:p>
    <w:p w14:paraId="48D4DC9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（4）认证委托人体系管理过程的运作控制；</w:t>
      </w:r>
    </w:p>
    <w:p w14:paraId="39FA061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（5）认证委托人的内部审核和管理评审；</w:t>
      </w:r>
    </w:p>
    <w:p w14:paraId="40B156A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（6）针对认证委托人管理方针的管理职责。</w:t>
      </w:r>
    </w:p>
    <w:p w14:paraId="7FB44724">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11" w:name="_Toc28171"/>
      <w:bookmarkStart w:id="12" w:name="_Toc10740"/>
      <w:r>
        <w:rPr>
          <w:rFonts w:hint="eastAsia" w:ascii="宋体" w:hAnsi="宋体" w:eastAsia="宋体" w:cs="宋体"/>
          <w:b/>
          <w:color w:val="auto"/>
          <w:sz w:val="24"/>
          <w:szCs w:val="24"/>
          <w:highlight w:val="none"/>
          <w:lang w:val="en-US" w:eastAsia="zh-CN"/>
        </w:rPr>
        <w:t>6监督审核</w:t>
      </w:r>
      <w:bookmarkEnd w:id="11"/>
      <w:bookmarkEnd w:id="12"/>
    </w:p>
    <w:p w14:paraId="3CE25C6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6.1公司应对获证组织进行有效跟踪，依据审核方案对获证组织开展监督审核，并要求获证组织的最高管理者参与审核访谈，以确认获证组织对应管理体系标准的持续符合性和运行的有效性。</w:t>
      </w:r>
    </w:p>
    <w:p w14:paraId="27E1A33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6.2每次监督审核应尽可能覆盖认证范围内的典型产品/服务及有代表性的生产/服务过程，并确保在认证证书有效期内的监督审核覆盖认证范围内的所有典型产品/服务、有代表性的生产/服务过程。</w:t>
      </w:r>
    </w:p>
    <w:p w14:paraId="60C4106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6.3监督审核应重点关注获证组织的变更以及管理体系绩效的持续改进，监督审核的内容至少包括：</w:t>
      </w:r>
    </w:p>
    <w:p w14:paraId="2CC2DAC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（1）内部审核和管理评审；</w:t>
      </w:r>
    </w:p>
    <w:p w14:paraId="0424386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（2）对上次审核确定的不符合采取的纠正措施及效果；</w:t>
      </w:r>
    </w:p>
    <w:p w14:paraId="21DF551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（3）在实现获证组织目标和管理体系预期结果方面的有效性；</w:t>
      </w:r>
    </w:p>
    <w:p w14:paraId="1D8BFD2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（4）为持续改进而策划的活动的进展；</w:t>
      </w:r>
    </w:p>
    <w:p w14:paraId="1DAB9C9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（5）持续的运作控制；</w:t>
      </w:r>
    </w:p>
    <w:p w14:paraId="698B6DE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（6）任何变更；</w:t>
      </w:r>
    </w:p>
    <w:p w14:paraId="74AB91F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（7）认证证书、认证标志的使用和（或）任何其他对认证信息的引用；</w:t>
      </w:r>
    </w:p>
    <w:p w14:paraId="1B5FD03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（8）管理体系相关投诉的处理；</w:t>
      </w:r>
    </w:p>
    <w:p w14:paraId="3AD6751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（9）上次审核后发生的管理体系事故的调查与处理。</w:t>
      </w:r>
    </w:p>
    <w:p w14:paraId="235E601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6.4监督审核的时间应根据获证组织当前有效人数和管理体系风险类型确定，不少于依据附件2所确定的初次认证审核时间的1/3。</w:t>
      </w:r>
    </w:p>
    <w:p w14:paraId="02651147">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13" w:name="_Toc17663"/>
      <w:bookmarkStart w:id="14" w:name="_Toc28933"/>
      <w:r>
        <w:rPr>
          <w:rFonts w:hint="eastAsia" w:ascii="宋体" w:hAnsi="宋体" w:eastAsia="宋体" w:cs="宋体"/>
          <w:b/>
          <w:color w:val="auto"/>
          <w:sz w:val="24"/>
          <w:szCs w:val="24"/>
          <w:highlight w:val="none"/>
          <w:lang w:val="en-US" w:eastAsia="zh-CN"/>
        </w:rPr>
        <w:t>7再认证审核</w:t>
      </w:r>
      <w:bookmarkEnd w:id="13"/>
      <w:bookmarkEnd w:id="14"/>
    </w:p>
    <w:p w14:paraId="052EA2D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7.1</w:t>
      </w:r>
      <w:r>
        <w:rPr>
          <w:rFonts w:hint="default" w:ascii="宋体" w:hAnsi="宋体" w:eastAsia="宋体" w:cs="宋体"/>
          <w:color w:val="auto"/>
          <w:sz w:val="24"/>
          <w:szCs w:val="24"/>
          <w:highlight w:val="none"/>
          <w:lang w:val="en-US" w:eastAsia="zh-CN"/>
        </w:rPr>
        <w:t>认证证书期满前，获证组织申请继续持有认证证书的，</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应依据审核方案实施再认证审核，以判断获证组织的</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作为一个整体与</w:t>
      </w:r>
      <w:r>
        <w:rPr>
          <w:rFonts w:hint="eastAsia" w:ascii="宋体" w:hAnsi="宋体" w:eastAsia="宋体" w:cs="宋体"/>
          <w:color w:val="auto"/>
          <w:sz w:val="24"/>
          <w:szCs w:val="24"/>
          <w:highlight w:val="none"/>
          <w:lang w:val="en-US" w:eastAsia="zh-CN"/>
        </w:rPr>
        <w:t>管理体系标准</w:t>
      </w:r>
      <w:r>
        <w:rPr>
          <w:rFonts w:hint="default" w:ascii="宋体" w:hAnsi="宋体" w:eastAsia="宋体" w:cs="宋体"/>
          <w:color w:val="auto"/>
          <w:sz w:val="24"/>
          <w:szCs w:val="24"/>
          <w:highlight w:val="none"/>
          <w:lang w:val="en-US" w:eastAsia="zh-CN"/>
        </w:rPr>
        <w:t>持续符合性和运行的有效性。</w:t>
      </w:r>
    </w:p>
    <w:p w14:paraId="327E50A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r>
        <w:rPr>
          <w:rFonts w:hint="default" w:ascii="宋体" w:hAnsi="宋体" w:eastAsia="宋体" w:cs="宋体"/>
          <w:color w:val="auto"/>
          <w:sz w:val="24"/>
          <w:szCs w:val="24"/>
          <w:highlight w:val="none"/>
          <w:lang w:val="en-US" w:eastAsia="zh-CN"/>
        </w:rPr>
        <w:t>.2再认证审核应在获证组织现场进行，并应在认证证书到期前完成。再认证审核的内容至少应包括：</w:t>
      </w:r>
    </w:p>
    <w:p w14:paraId="1316EFC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（1）结合其内部环境和外部环境的变化情况，确认获证组织</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有效性及认证范围的持续相关性和适宜性；</w:t>
      </w:r>
    </w:p>
    <w:p w14:paraId="0154B32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绩效持续改进的证实；</w:t>
      </w:r>
    </w:p>
    <w:p w14:paraId="279D77D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在实现获证组织目标和</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预期结果方面的有效性。</w:t>
      </w:r>
    </w:p>
    <w:p w14:paraId="0365A2B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r>
        <w:rPr>
          <w:rFonts w:hint="default" w:ascii="宋体" w:hAnsi="宋体" w:eastAsia="宋体" w:cs="宋体"/>
          <w:color w:val="auto"/>
          <w:sz w:val="24"/>
          <w:szCs w:val="24"/>
          <w:highlight w:val="none"/>
          <w:lang w:val="en-US" w:eastAsia="zh-CN"/>
        </w:rPr>
        <w:t>3再认证审核策划时应考虑获证组织最近一个认证周期内的</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绩效，包括调阅以往的监督审核报告。</w:t>
      </w:r>
    </w:p>
    <w:p w14:paraId="572BD85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r>
        <w:rPr>
          <w:rFonts w:hint="default" w:ascii="宋体" w:hAnsi="宋体" w:eastAsia="宋体" w:cs="宋体"/>
          <w:color w:val="auto"/>
          <w:sz w:val="24"/>
          <w:szCs w:val="24"/>
          <w:highlight w:val="none"/>
          <w:lang w:val="en-US" w:eastAsia="zh-CN"/>
        </w:rPr>
        <w:t>.4再认证审核的审核时间应按</w:t>
      </w:r>
      <w:r>
        <w:rPr>
          <w:rFonts w:hint="eastAsia" w:ascii="宋体" w:hAnsi="宋体" w:eastAsia="宋体" w:cs="宋体"/>
          <w:color w:val="auto"/>
          <w:sz w:val="24"/>
          <w:szCs w:val="24"/>
          <w:highlight w:val="none"/>
          <w:lang w:val="en-US" w:eastAsia="zh-CN"/>
        </w:rPr>
        <w:t>5.2.2</w:t>
      </w:r>
      <w:r>
        <w:rPr>
          <w:rFonts w:hint="default" w:ascii="宋体" w:hAnsi="宋体" w:eastAsia="宋体" w:cs="宋体"/>
          <w:color w:val="auto"/>
          <w:sz w:val="24"/>
          <w:szCs w:val="24"/>
          <w:highlight w:val="none"/>
          <w:lang w:val="en-US" w:eastAsia="zh-CN"/>
        </w:rPr>
        <w:t>的要求，根据获证组织当前有效人数和</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风险类型情况来确定，不少于依据</w:t>
      </w:r>
      <w:r>
        <w:rPr>
          <w:rFonts w:hint="eastAsia" w:ascii="宋体" w:hAnsi="宋体" w:eastAsia="宋体" w:cs="宋体"/>
          <w:color w:val="auto"/>
          <w:sz w:val="24"/>
          <w:szCs w:val="24"/>
          <w:highlight w:val="none"/>
          <w:lang w:val="en-US" w:eastAsia="zh-CN"/>
        </w:rPr>
        <w:t>附件2</w:t>
      </w:r>
      <w:r>
        <w:rPr>
          <w:rFonts w:hint="default" w:ascii="宋体" w:hAnsi="宋体" w:eastAsia="宋体" w:cs="宋体"/>
          <w:color w:val="auto"/>
          <w:sz w:val="24"/>
          <w:szCs w:val="24"/>
          <w:highlight w:val="none"/>
          <w:lang w:val="en-US" w:eastAsia="zh-CN"/>
        </w:rPr>
        <w:t>所确定的初次认证审核时间的2/3。</w:t>
      </w:r>
    </w:p>
    <w:p w14:paraId="0DB010BF">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15" w:name="_Toc28504"/>
      <w:bookmarkStart w:id="16" w:name="_Toc26855"/>
      <w:r>
        <w:rPr>
          <w:rFonts w:hint="eastAsia" w:ascii="宋体" w:hAnsi="宋体" w:eastAsia="宋体" w:cs="宋体"/>
          <w:b/>
          <w:color w:val="auto"/>
          <w:sz w:val="24"/>
          <w:szCs w:val="24"/>
          <w:highlight w:val="none"/>
          <w:lang w:val="en-US" w:eastAsia="zh-CN"/>
        </w:rPr>
        <w:t>8特殊审核</w:t>
      </w:r>
      <w:bookmarkEnd w:id="15"/>
      <w:bookmarkEnd w:id="16"/>
    </w:p>
    <w:p w14:paraId="2762AEB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r>
        <w:rPr>
          <w:rFonts w:hint="default" w:ascii="宋体" w:hAnsi="宋体" w:eastAsia="宋体" w:cs="宋体"/>
          <w:color w:val="auto"/>
          <w:sz w:val="24"/>
          <w:szCs w:val="24"/>
          <w:highlight w:val="none"/>
          <w:lang w:val="en-US" w:eastAsia="zh-CN"/>
        </w:rPr>
        <w:t>1扩大认证范围</w:t>
      </w:r>
    </w:p>
    <w:p w14:paraId="01C64B3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对于已授予的认证，</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应对扩大认证范围的申请进行评审，并确定任何必要的审核活动，以做出是否可予扩大的决定。这类审核活动可以结合监督审核同时进行。</w:t>
      </w:r>
    </w:p>
    <w:p w14:paraId="5DD38B9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r>
        <w:rPr>
          <w:rFonts w:hint="default" w:ascii="宋体" w:hAnsi="宋体" w:eastAsia="宋体" w:cs="宋体"/>
          <w:color w:val="auto"/>
          <w:sz w:val="24"/>
          <w:szCs w:val="24"/>
          <w:highlight w:val="none"/>
          <w:lang w:val="en-US" w:eastAsia="zh-CN"/>
        </w:rPr>
        <w:t>.2提前较短时间通知的审核</w:t>
      </w:r>
    </w:p>
    <w:p w14:paraId="50D86A0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为调查投诉、质量事故，对变更做出回应或对被暂停的客户进行追踪，可能需要在提前较短时间或不通知获证组织的情况下进行审核，此时：</w:t>
      </w:r>
    </w:p>
    <w:p w14:paraId="6808C12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说明并使获证组织提前了解将在何种条件下进行此类审核；</w:t>
      </w:r>
    </w:p>
    <w:p w14:paraId="45D53D4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（2）由于获证组织缺乏对审核组成员的任命表示反对的机会，</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在指派审核组时</w:t>
      </w:r>
      <w:r>
        <w:rPr>
          <w:rFonts w:hint="eastAsia" w:ascii="宋体" w:hAnsi="宋体" w:eastAsia="宋体" w:cs="宋体"/>
          <w:color w:val="auto"/>
          <w:sz w:val="24"/>
          <w:szCs w:val="24"/>
          <w:highlight w:val="none"/>
          <w:lang w:val="en-US" w:eastAsia="zh-CN"/>
        </w:rPr>
        <w:t>应</w:t>
      </w:r>
      <w:r>
        <w:rPr>
          <w:rFonts w:hint="default" w:ascii="宋体" w:hAnsi="宋体" w:eastAsia="宋体" w:cs="宋体"/>
          <w:color w:val="auto"/>
          <w:sz w:val="24"/>
          <w:szCs w:val="24"/>
          <w:highlight w:val="none"/>
          <w:lang w:val="en-US" w:eastAsia="zh-CN"/>
        </w:rPr>
        <w:t>给予更多的关注。</w:t>
      </w:r>
    </w:p>
    <w:p w14:paraId="5CE005E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r>
        <w:rPr>
          <w:rFonts w:hint="default" w:ascii="宋体" w:hAnsi="宋体" w:eastAsia="宋体" w:cs="宋体"/>
          <w:color w:val="auto"/>
          <w:sz w:val="24"/>
          <w:szCs w:val="24"/>
          <w:highlight w:val="none"/>
          <w:lang w:val="en-US" w:eastAsia="zh-CN"/>
        </w:rPr>
        <w:t>.3获证组织认证范围内的产品在产品质量国家监督抽查中被查出不合格时，自市场监管部门发出通报起30日内，认证机构应对该组织实施提前较短时间通知的审核。</w:t>
      </w:r>
    </w:p>
    <w:p w14:paraId="5D678B33">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17" w:name="_Toc21526"/>
      <w:bookmarkStart w:id="18" w:name="_Toc9216"/>
      <w:r>
        <w:rPr>
          <w:rFonts w:hint="eastAsia" w:ascii="宋体" w:hAnsi="宋体" w:eastAsia="宋体" w:cs="宋体"/>
          <w:b/>
          <w:color w:val="auto"/>
          <w:sz w:val="24"/>
          <w:szCs w:val="24"/>
          <w:highlight w:val="none"/>
          <w:lang w:val="en-US" w:eastAsia="zh-CN"/>
        </w:rPr>
        <w:t>9不符合项及其验证</w:t>
      </w:r>
      <w:bookmarkEnd w:id="17"/>
      <w:bookmarkEnd w:id="18"/>
    </w:p>
    <w:p w14:paraId="05BDDF9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r>
        <w:rPr>
          <w:rFonts w:hint="default" w:ascii="宋体" w:hAnsi="宋体" w:eastAsia="宋体" w:cs="宋体"/>
          <w:color w:val="auto"/>
          <w:sz w:val="24"/>
          <w:szCs w:val="24"/>
          <w:highlight w:val="none"/>
          <w:lang w:val="en-US" w:eastAsia="zh-CN"/>
        </w:rPr>
        <w:t>.1对审核中发现的不符合，认证委托人</w:t>
      </w:r>
      <w:r>
        <w:rPr>
          <w:rFonts w:hint="eastAsia" w:ascii="宋体" w:hAnsi="宋体" w:eastAsia="宋体" w:cs="宋体"/>
          <w:color w:val="auto"/>
          <w:sz w:val="24"/>
          <w:szCs w:val="24"/>
          <w:highlight w:val="none"/>
          <w:lang w:val="en-US" w:eastAsia="zh-CN"/>
        </w:rPr>
        <w:t>应</w:t>
      </w:r>
      <w:r>
        <w:rPr>
          <w:rFonts w:hint="default" w:ascii="宋体" w:hAnsi="宋体" w:eastAsia="宋体" w:cs="宋体"/>
          <w:color w:val="auto"/>
          <w:sz w:val="24"/>
          <w:szCs w:val="24"/>
          <w:highlight w:val="none"/>
          <w:lang w:val="en-US" w:eastAsia="zh-CN"/>
        </w:rPr>
        <w:t>在规定的时限内进行原因分析，采取相应的纠正措施。</w:t>
      </w:r>
    </w:p>
    <w:p w14:paraId="4357DC6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r>
        <w:rPr>
          <w:rFonts w:hint="default"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对认证委托人所采取的纠正措施的有效性进行验证。认证委托人可以针对轻微不符合制定纠正措施计划，由</w:t>
      </w:r>
      <w:r>
        <w:rPr>
          <w:rFonts w:hint="eastAsia" w:ascii="宋体" w:hAnsi="宋体" w:eastAsia="宋体" w:cs="宋体"/>
          <w:color w:val="auto"/>
          <w:sz w:val="24"/>
          <w:szCs w:val="24"/>
          <w:highlight w:val="none"/>
          <w:lang w:val="en-US" w:eastAsia="zh-CN"/>
        </w:rPr>
        <w:t>公司审核组</w:t>
      </w:r>
      <w:r>
        <w:rPr>
          <w:rFonts w:hint="default" w:ascii="宋体" w:hAnsi="宋体" w:eastAsia="宋体" w:cs="宋体"/>
          <w:color w:val="auto"/>
          <w:sz w:val="24"/>
          <w:szCs w:val="24"/>
          <w:highlight w:val="none"/>
          <w:lang w:val="en-US" w:eastAsia="zh-CN"/>
        </w:rPr>
        <w:t>在下次审核时验证。</w:t>
      </w:r>
    </w:p>
    <w:p w14:paraId="00BB6FF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r>
        <w:rPr>
          <w:rFonts w:hint="default" w:ascii="宋体" w:hAnsi="宋体" w:eastAsia="宋体" w:cs="宋体"/>
          <w:color w:val="auto"/>
          <w:sz w:val="24"/>
          <w:szCs w:val="24"/>
          <w:highlight w:val="none"/>
          <w:lang w:val="en-US" w:eastAsia="zh-CN"/>
        </w:rPr>
        <w:t>.3严重不符合的验证时限应满足以下要求：</w:t>
      </w:r>
    </w:p>
    <w:p w14:paraId="39B6439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（1）初次认证：在第二阶段审核结束之日起6个月内完成；</w:t>
      </w:r>
    </w:p>
    <w:p w14:paraId="3B64565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（2）监督审核：在审核结束之日起3个月内完成；</w:t>
      </w:r>
    </w:p>
    <w:p w14:paraId="24CA781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（3）再认证：在原认证证书到期前完成。</w:t>
      </w:r>
    </w:p>
    <w:p w14:paraId="606D38F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r>
        <w:rPr>
          <w:rFonts w:hint="default" w:ascii="宋体" w:hAnsi="宋体" w:eastAsia="宋体" w:cs="宋体"/>
          <w:color w:val="auto"/>
          <w:sz w:val="24"/>
          <w:szCs w:val="24"/>
          <w:highlight w:val="none"/>
          <w:lang w:val="en-US" w:eastAsia="zh-CN"/>
        </w:rPr>
        <w:t>4对于认证委托人未能在规定的时限内完成对不符合所采取措施的情况，</w:t>
      </w:r>
      <w:r>
        <w:rPr>
          <w:rFonts w:hint="eastAsia" w:ascii="宋体" w:hAnsi="宋体" w:eastAsia="宋体" w:cs="宋体"/>
          <w:color w:val="auto"/>
          <w:sz w:val="24"/>
          <w:szCs w:val="24"/>
          <w:highlight w:val="none"/>
          <w:lang w:val="en-US" w:eastAsia="zh-CN"/>
        </w:rPr>
        <w:t>公司将按实际情况</w:t>
      </w:r>
      <w:r>
        <w:rPr>
          <w:rFonts w:hint="default" w:ascii="宋体" w:hAnsi="宋体" w:eastAsia="宋体" w:cs="宋体"/>
          <w:color w:val="auto"/>
          <w:sz w:val="24"/>
          <w:szCs w:val="24"/>
          <w:highlight w:val="none"/>
          <w:lang w:val="en-US" w:eastAsia="zh-CN"/>
        </w:rPr>
        <w:t>做出授予认证、保持认证或更新认证的决定。</w:t>
      </w:r>
    </w:p>
    <w:p w14:paraId="10BA2548">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19" w:name="_Toc14481"/>
      <w:bookmarkStart w:id="20" w:name="_Toc23105"/>
      <w:r>
        <w:rPr>
          <w:rFonts w:hint="eastAsia" w:ascii="宋体" w:hAnsi="宋体" w:eastAsia="宋体" w:cs="宋体"/>
          <w:b/>
          <w:color w:val="auto"/>
          <w:sz w:val="24"/>
          <w:szCs w:val="24"/>
          <w:highlight w:val="none"/>
          <w:lang w:val="en-US" w:eastAsia="zh-CN"/>
        </w:rPr>
        <w:t>10审核报告</w:t>
      </w:r>
      <w:bookmarkEnd w:id="19"/>
      <w:bookmarkEnd w:id="20"/>
    </w:p>
    <w:p w14:paraId="371A28B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应就每次审核向认证委托人提供书面的审核报告。审核组长应对审核报告的内容负责。</w:t>
      </w:r>
    </w:p>
    <w:p w14:paraId="616AE73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default" w:ascii="宋体" w:hAnsi="宋体" w:eastAsia="宋体" w:cs="宋体"/>
          <w:color w:val="auto"/>
          <w:sz w:val="24"/>
          <w:szCs w:val="24"/>
          <w:highlight w:val="none"/>
          <w:lang w:val="en-US" w:eastAsia="zh-CN"/>
        </w:rPr>
        <w:t>2审核报告的内容应准确、简明和清晰，反映认证委托人</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的真实状况，描述对照</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标准的符合性和有效性的客观证据信息，及对认证结论的推荐意见。</w:t>
      </w:r>
    </w:p>
    <w:p w14:paraId="4824B85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default" w:ascii="宋体" w:hAnsi="宋体" w:eastAsia="宋体" w:cs="宋体"/>
          <w:color w:val="auto"/>
          <w:sz w:val="24"/>
          <w:szCs w:val="24"/>
          <w:highlight w:val="none"/>
          <w:lang w:val="en-US" w:eastAsia="zh-CN"/>
        </w:rPr>
        <w:t>3审核报告至少应包括或引用以下内容：</w:t>
      </w:r>
    </w:p>
    <w:p w14:paraId="55AB3E1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（1）认证机构名称；</w:t>
      </w:r>
    </w:p>
    <w:p w14:paraId="04367D1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（2）认证委托人的名称和地址及其代表；</w:t>
      </w:r>
    </w:p>
    <w:p w14:paraId="3EB0A17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（3）审核类型（如，初次认证、监督、再认证或其他类型）；</w:t>
      </w:r>
    </w:p>
    <w:p w14:paraId="5B995C0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（4）结合、联合或一体化审核情况（适用时）；</w:t>
      </w:r>
    </w:p>
    <w:p w14:paraId="11974B8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（5）审核准则；</w:t>
      </w:r>
    </w:p>
    <w:p w14:paraId="1454C83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（6）审核目的及其是否达到的确认；</w:t>
      </w:r>
    </w:p>
    <w:p w14:paraId="1E048FE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（7）审核范围，特别是标识出所审核的组织、职能单元或过程，以及审核时间；</w:t>
      </w:r>
    </w:p>
    <w:p w14:paraId="6A4C52B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（8）任何偏离审核计划的情况及其理由；</w:t>
      </w:r>
    </w:p>
    <w:p w14:paraId="018650B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（9）任何影响审核方案的重要事项；</w:t>
      </w:r>
    </w:p>
    <w:p w14:paraId="4BDA0CD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（10）审核组成员姓名、身份及任何与审核组同行的人员；</w:t>
      </w:r>
    </w:p>
    <w:p w14:paraId="69A6A85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（11）审核活动（现场或非现场，永久或临时场所）的实施日期和地点；</w:t>
      </w:r>
    </w:p>
    <w:p w14:paraId="6FFCE91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应描述与审核类型要求一致的审核发现、审核证据（或审核证据的引用）以及审核结论，重点反映认证委托人主要产品和服务提供过程与控制情况、内部审核和管理评审的过程、所取得的绩效，认证委托人实际情况与其预期质量目标之间存在的差距和改进机会；</w:t>
      </w:r>
    </w:p>
    <w:p w14:paraId="6C68948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（13）行政监管部门在</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方面抽查的不合格情况，及相关原因分析和整改措施的有效性（适用时）；</w:t>
      </w:r>
    </w:p>
    <w:p w14:paraId="14FAD9B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（14）上次审核后发生的影响认证委托人</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的重要变更（适用时）；</w:t>
      </w:r>
    </w:p>
    <w:p w14:paraId="03914C5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（15）获证组织对认证证书和认证标志使用的控制情况（适用时）；</w:t>
      </w:r>
    </w:p>
    <w:p w14:paraId="31AB971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（16）对以前不符合采取的纠正措施有效性的验证情况（适用时）；</w:t>
      </w:r>
    </w:p>
    <w:p w14:paraId="136201C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（17）已识别出的任何未解决的问题；</w:t>
      </w:r>
    </w:p>
    <w:p w14:paraId="3841609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（18）说明审核基于对可获得信息的抽样过程的免责声明；</w:t>
      </w:r>
    </w:p>
    <w:p w14:paraId="4B41497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（19）审核组的推荐意见以及对申请的认证范围适宜性的结论。</w:t>
      </w:r>
    </w:p>
    <w:p w14:paraId="6366EB9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default"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应保留用于证实审核报告中相关信息的审核证据。</w:t>
      </w:r>
    </w:p>
    <w:p w14:paraId="264FD5E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r>
        <w:rPr>
          <w:rFonts w:hint="default" w:ascii="宋体" w:hAnsi="宋体" w:eastAsia="宋体" w:cs="宋体"/>
          <w:color w:val="auto"/>
          <w:sz w:val="24"/>
          <w:szCs w:val="24"/>
          <w:highlight w:val="none"/>
          <w:lang w:val="en-US" w:eastAsia="zh-CN"/>
        </w:rPr>
        <w:t>5对终止审核的项目，审核组应将终止审核的原因以及已开展的工作情况形成报告，</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应将此报告提交给认证委托人。</w:t>
      </w:r>
    </w:p>
    <w:p w14:paraId="1554EB61">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21" w:name="_Toc24302"/>
      <w:bookmarkStart w:id="22" w:name="_Toc19276"/>
      <w:r>
        <w:rPr>
          <w:rFonts w:hint="eastAsia" w:ascii="宋体" w:hAnsi="宋体" w:eastAsia="宋体" w:cs="宋体"/>
          <w:b/>
          <w:color w:val="auto"/>
          <w:sz w:val="24"/>
          <w:szCs w:val="24"/>
          <w:highlight w:val="none"/>
          <w:lang w:val="en-US" w:eastAsia="zh-CN"/>
        </w:rPr>
        <w:t>11认证决定</w:t>
      </w:r>
      <w:bookmarkEnd w:id="21"/>
      <w:bookmarkEnd w:id="22"/>
    </w:p>
    <w:p w14:paraId="5AECEC6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11.1公司应在对审核报告、不符合的纠正措施及验证情况和其他信息进行复核、综合评价的基础上，做出认证决定。认证决定人员应为公司的专职认证人员，并不得为审核组成员，能力应满足关于认证机构资质审批的相关要求。认证决定过程不得外包，认证决定须由中华人民共和国境内的工作人员做出。</w:t>
      </w:r>
    </w:p>
    <w:p w14:paraId="1A7C82F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11.2公司应有充分的证据确认认证委托人满足下列条件的，做出授予、更新、扩大认证范围的决定：</w:t>
      </w:r>
    </w:p>
    <w:p w14:paraId="439E773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（1）5.1.2中的条件；</w:t>
      </w:r>
    </w:p>
    <w:p w14:paraId="5591117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（2）对于严重不符合，已评审、接受并验证了纠正措施的有效性；对于轻微不符合，已评审、接受了认证委托人的纠正措施或计划采取的纠正措施；</w:t>
      </w:r>
    </w:p>
    <w:p w14:paraId="3614BB8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（3）认证委托人的管理体系符合对应管理体系标准要求且运行有效；</w:t>
      </w:r>
    </w:p>
    <w:p w14:paraId="512836D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（4）认证委托人按照认证合同规定履行了相关义务。</w:t>
      </w:r>
    </w:p>
    <w:p w14:paraId="112ECFA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11.3初次认证审核的认证决定应在现场审核后6个月内完成。否则应在推荐认证注册前再实施一次第二阶段审核。</w:t>
      </w:r>
    </w:p>
    <w:p w14:paraId="699ABA5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11.4再认证审核的认证决定宜在上一认证周期认证证书到期前完成，最迟应在证书到期之日起6个月内完成。如果在当前认证证书终止日期前，未能完成再认证审核或对严重不符合实施的纠正和纠正措施未能进行验证，则不予以再认证，也不延长原认证证书的有效期。</w:t>
      </w:r>
    </w:p>
    <w:p w14:paraId="78D93B2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11.5认证委托人不能满足11.4要求的，公司以书面形式告知其未通过认证的原因。</w:t>
      </w:r>
    </w:p>
    <w:p w14:paraId="0138BAB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11.6对于监督审核，在满足下列条件时，可根据审核组长的肯定性结论保持对获证组织的认证，无需再进行独立的认证决定：</w:t>
      </w:r>
    </w:p>
    <w:p w14:paraId="25B7E2F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（1）监督审核未发现严重不符合及其他可能导致认证证书暂停、撤销的情况；</w:t>
      </w:r>
    </w:p>
    <w:p w14:paraId="0718B9C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（2）获证组织认证信息未发生变更，不存在扩大、缩小认证范围的情况。</w:t>
      </w:r>
    </w:p>
    <w:p w14:paraId="682DCD83">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23" w:name="_Toc7544"/>
      <w:bookmarkStart w:id="24" w:name="_Toc3226"/>
      <w:r>
        <w:rPr>
          <w:rFonts w:hint="eastAsia" w:ascii="宋体" w:hAnsi="宋体" w:eastAsia="宋体" w:cs="宋体"/>
          <w:b/>
          <w:color w:val="auto"/>
          <w:sz w:val="24"/>
          <w:szCs w:val="24"/>
          <w:highlight w:val="none"/>
          <w:lang w:val="en-US" w:eastAsia="zh-CN"/>
        </w:rPr>
        <w:t>12认证证书和认证标志</w:t>
      </w:r>
      <w:bookmarkEnd w:id="23"/>
      <w:bookmarkEnd w:id="24"/>
    </w:p>
    <w:p w14:paraId="09B83DB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12.1认证机构应制定文件化的管理制度，要求获证组织正确使用认证证书和认证标志，以满足《认证证书和认证标志管理办法》相关规定。</w:t>
      </w:r>
    </w:p>
    <w:p w14:paraId="6877E1D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lang w:val="en-US" w:eastAsia="zh-CN"/>
        </w:rPr>
        <w:t>1.</w:t>
      </w:r>
      <w:r>
        <w:rPr>
          <w:rFonts w:hint="default" w:ascii="宋体" w:hAnsi="宋体" w:eastAsia="宋体" w:cs="宋体"/>
          <w:color w:val="auto"/>
          <w:sz w:val="24"/>
          <w:szCs w:val="24"/>
          <w:highlight w:val="none"/>
          <w:lang w:val="en-US" w:eastAsia="zh-CN"/>
        </w:rPr>
        <w:t>2获证组织可以在认证证书有效时使用</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认证证书和认证标志，并接受认证机构的监督管理。认证证书处于暂停期间、被撤销或注销后，不得继续使用认证证书和认证标志。</w:t>
      </w:r>
    </w:p>
    <w:p w14:paraId="613160E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lang w:val="en-US" w:eastAsia="zh-CN"/>
        </w:rPr>
        <w:t>1.</w:t>
      </w:r>
      <w:r>
        <w:rPr>
          <w:rFonts w:hint="default" w:ascii="宋体" w:hAnsi="宋体" w:eastAsia="宋体" w:cs="宋体"/>
          <w:color w:val="auto"/>
          <w:sz w:val="24"/>
          <w:szCs w:val="24"/>
          <w:highlight w:val="none"/>
          <w:lang w:val="en-US" w:eastAsia="zh-CN"/>
        </w:rPr>
        <w:t>3获证组织应当在广告等有关宣传中正确使用认证标志，不得在产品上仅标注认证标志，只有在注明获证组织通过</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认证及认证机构名称的情况下，方可在产品包装上标注认证标志。</w:t>
      </w:r>
    </w:p>
    <w:p w14:paraId="2C4570E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w:t>
      </w:r>
      <w:r>
        <w:rPr>
          <w:rFonts w:hint="eastAsia" w:ascii="宋体" w:hAnsi="宋体" w:eastAsia="宋体" w:cs="宋体"/>
          <w:color w:val="auto"/>
          <w:sz w:val="24"/>
          <w:szCs w:val="24"/>
          <w:highlight w:val="none"/>
          <w:lang w:val="en-US" w:eastAsia="zh-CN"/>
        </w:rPr>
        <w:t>1</w:t>
      </w:r>
      <w:r>
        <w:rPr>
          <w:rFonts w:hint="default" w:ascii="宋体" w:hAnsi="宋体" w:eastAsia="宋体" w:cs="宋体"/>
          <w:color w:val="auto"/>
          <w:sz w:val="24"/>
          <w:szCs w:val="24"/>
          <w:highlight w:val="none"/>
          <w:lang w:val="en-US" w:eastAsia="zh-CN"/>
        </w:rPr>
        <w:t>.4认证机构发现获证组织未正确使用认证证书和认证标志的，应当要求获证组织立即采取有效纠正措施，并跟踪监督纠正情况。</w:t>
      </w:r>
    </w:p>
    <w:p w14:paraId="2DF22B5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12.2认证证书</w:t>
      </w:r>
    </w:p>
    <w:p w14:paraId="2DBE799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12.2.1认证机构应及时向认证决定符合要求的组织出具认证证书，认证证书的有效期最长为3年。</w:t>
      </w:r>
    </w:p>
    <w:p w14:paraId="47616DD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w:t>
      </w:r>
      <w:r>
        <w:rPr>
          <w:rFonts w:hint="default"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2.</w:t>
      </w:r>
      <w:r>
        <w:rPr>
          <w:rFonts w:hint="default" w:ascii="宋体" w:hAnsi="宋体" w:eastAsia="宋体" w:cs="宋体"/>
          <w:color w:val="auto"/>
          <w:sz w:val="24"/>
          <w:szCs w:val="24"/>
          <w:highlight w:val="none"/>
          <w:lang w:val="en-US" w:eastAsia="zh-CN"/>
        </w:rPr>
        <w:t>2认证证书有效期的起算日期为认证证书签发日期，认证证书的签发日期不应早于做出认证决定的日期。</w:t>
      </w:r>
    </w:p>
    <w:p w14:paraId="4ED6F6D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12.2.3对于未能在原认证证书到期前完成再认证决定的，获证组织的认证证书到期后自动失效，直至获得新签发的再认证证书，新签发的再认证证书的终止日期不超过上一认证周期终止日期再加3年。</w:t>
      </w:r>
    </w:p>
    <w:p w14:paraId="3A08132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12.2.4对每张认证证书应赋予一个认证证书编号，认证证书编号应遵循一定的规律，具体详见</w:t>
      </w:r>
      <w:r>
        <w:rPr>
          <w:rFonts w:hint="eastAsia" w:ascii="宋体" w:hAnsi="宋体" w:eastAsia="宋体" w:cs="宋体"/>
          <w:color w:val="auto"/>
          <w:sz w:val="24"/>
          <w:szCs w:val="24"/>
          <w:highlight w:val="none"/>
          <w:lang w:val="en-US" w:eastAsia="zh-CN"/>
        </w:rPr>
        <w:t>18.3</w:t>
      </w:r>
      <w:r>
        <w:rPr>
          <w:rFonts w:hint="default" w:ascii="宋体" w:hAnsi="宋体" w:eastAsia="宋体" w:cs="宋体"/>
          <w:color w:val="auto"/>
          <w:sz w:val="24"/>
          <w:szCs w:val="24"/>
          <w:highlight w:val="none"/>
          <w:lang w:val="en-US" w:eastAsia="zh-CN"/>
        </w:rPr>
        <w:t>。</w:t>
      </w:r>
    </w:p>
    <w:p w14:paraId="6C070DD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12.2.5认证证书在中华人民共和国境内使用的，认证证书应使用中文。</w:t>
      </w:r>
    </w:p>
    <w:p w14:paraId="4446FF9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12.2.6认证证书的信息应真实、准确，不产生误导，并至少包含以下内容：</w:t>
      </w:r>
    </w:p>
    <w:p w14:paraId="6FE7014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（1）获证组织名称、统一社会信用代码、注册地址、认证范围所覆盖的经营地址。若认证的</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覆盖多场所，应表述认证所覆盖的所有场所的地址信息；</w:t>
      </w:r>
    </w:p>
    <w:p w14:paraId="1A43F86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注：认证证书中可不包括临时场所，当在认证证书上展示临时场所时，应注明这些场所为临时场所。</w:t>
      </w:r>
    </w:p>
    <w:p w14:paraId="43D5F53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（2）获证组织</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所覆盖的产品、活动、服务的范围；包括每个场所相应的认证范围，且没有误导或歧义（适用时）；</w:t>
      </w:r>
    </w:p>
    <w:p w14:paraId="4D98C03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（3）认证依据的认证标准所采用的当时有效版本的完整标准号；</w:t>
      </w:r>
    </w:p>
    <w:p w14:paraId="21F655F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（4）认证证书签发日期和有效截止日期，认证证书应注明：获证组织必须定期接受监督审核并经审核合格此证书方继续有效的提示信息；</w:t>
      </w:r>
    </w:p>
    <w:p w14:paraId="0E65015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（5）认证证书编号（或唯一的识别代码）；</w:t>
      </w:r>
    </w:p>
    <w:p w14:paraId="212A667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（6）认证机构名称、地址；</w:t>
      </w:r>
    </w:p>
    <w:p w14:paraId="048C931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（7）认证标志、相关的认可标识及认可注册号（适用时）；</w:t>
      </w:r>
    </w:p>
    <w:p w14:paraId="3FC83AE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（8）认证证书信息及认证证书状态的查询途径。</w:t>
      </w:r>
    </w:p>
    <w:p w14:paraId="7A998F5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w:t>
      </w:r>
      <w:r>
        <w:rPr>
          <w:rFonts w:hint="default" w:ascii="宋体" w:hAnsi="宋体" w:eastAsia="宋体" w:cs="宋体"/>
          <w:color w:val="auto"/>
          <w:sz w:val="24"/>
          <w:szCs w:val="24"/>
          <w:highlight w:val="none"/>
          <w:lang w:val="en-US" w:eastAsia="zh-CN"/>
        </w:rPr>
        <w:t>.3认证标志</w:t>
      </w:r>
    </w:p>
    <w:p w14:paraId="52B05267">
      <w:pPr>
        <w:keepNext w:val="0"/>
        <w:keepLines w:val="0"/>
        <w:widowControl/>
        <w:numPr>
          <w:ilvl w:val="0"/>
          <w:numId w:val="0"/>
        </w:numPr>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本公司认证标志如下图所示：</w:t>
      </w:r>
    </w:p>
    <w:p w14:paraId="7394432B">
      <w:pPr>
        <w:keepNext w:val="0"/>
        <w:keepLines w:val="0"/>
        <w:widowControl/>
        <w:numPr>
          <w:ilvl w:val="0"/>
          <w:numId w:val="0"/>
        </w:numPr>
        <w:kinsoku/>
        <w:wordWrap/>
        <w:overflowPunct/>
        <w:topLinePunct w:val="0"/>
        <w:autoSpaceDE/>
        <w:autoSpaceDN/>
        <w:bidi w:val="0"/>
        <w:adjustRightInd/>
        <w:snapToGrid/>
        <w:spacing w:beforeLines="0" w:afterLines="0" w:line="324" w:lineRule="auto"/>
        <w:jc w:val="center"/>
        <w:textAlignment w:val="auto"/>
        <w:rPr>
          <w:rFonts w:hint="eastAsia"/>
          <w:color w:val="auto"/>
          <w:highlight w:val="none"/>
          <w:lang w:val="en-US" w:eastAsia="zh-CN"/>
        </w:rPr>
      </w:pPr>
      <w:r>
        <w:rPr>
          <w:rFonts w:hint="eastAsia"/>
          <w:color w:val="auto"/>
          <w:highlight w:val="none"/>
          <w:lang w:val="en-US" w:eastAsia="zh-CN"/>
        </w:rPr>
        <w:drawing>
          <wp:inline distT="0" distB="0" distL="114300" distR="114300">
            <wp:extent cx="1080135" cy="1080135"/>
            <wp:effectExtent l="0" t="0" r="5715" b="5715"/>
            <wp:docPr id="2" name="图片 2" descr="6371b84afabed5c6817009cbd74da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371b84afabed5c6817009cbd74dad2"/>
                    <pic:cNvPicPr>
                      <a:picLocks noChangeAspect="1"/>
                    </pic:cNvPicPr>
                  </pic:nvPicPr>
                  <pic:blipFill>
                    <a:blip r:embed="rId13"/>
                    <a:stretch>
                      <a:fillRect/>
                    </a:stretch>
                  </pic:blipFill>
                  <pic:spPr>
                    <a:xfrm>
                      <a:off x="0" y="0"/>
                      <a:ext cx="1080135" cy="1080135"/>
                    </a:xfrm>
                    <a:prstGeom prst="rect">
                      <a:avLst/>
                    </a:prstGeom>
                  </pic:spPr>
                </pic:pic>
              </a:graphicData>
            </a:graphic>
          </wp:inline>
        </w:drawing>
      </w:r>
    </w:p>
    <w:p w14:paraId="60090798">
      <w:pPr>
        <w:keepNext w:val="0"/>
        <w:keepLines w:val="0"/>
        <w:widowControl/>
        <w:numPr>
          <w:ilvl w:val="0"/>
          <w:numId w:val="0"/>
        </w:numPr>
        <w:kinsoku/>
        <w:wordWrap/>
        <w:overflowPunct/>
        <w:topLinePunct w:val="0"/>
        <w:autoSpaceDE/>
        <w:autoSpaceDN/>
        <w:bidi w:val="0"/>
        <w:adjustRightInd/>
        <w:snapToGrid/>
        <w:spacing w:beforeLines="0" w:afterLines="0" w:line="324"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图1中证信认证标志</w:t>
      </w:r>
    </w:p>
    <w:p w14:paraId="0DD95DC1">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25" w:name="_Toc31352"/>
      <w:bookmarkStart w:id="26" w:name="_Toc26426"/>
      <w:r>
        <w:rPr>
          <w:rFonts w:hint="eastAsia" w:ascii="宋体" w:hAnsi="宋体" w:eastAsia="宋体" w:cs="宋体"/>
          <w:b/>
          <w:color w:val="auto"/>
          <w:sz w:val="24"/>
          <w:szCs w:val="24"/>
          <w:highlight w:val="none"/>
          <w:lang w:val="en-US" w:eastAsia="zh-CN"/>
        </w:rPr>
        <w:t>13认证证书的暂停、撤销和注销</w:t>
      </w:r>
      <w:bookmarkEnd w:id="25"/>
      <w:bookmarkEnd w:id="26"/>
    </w:p>
    <w:p w14:paraId="29974E9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13.1</w:t>
      </w:r>
      <w:r>
        <w:rPr>
          <w:rFonts w:hint="default" w:ascii="宋体" w:hAnsi="宋体" w:eastAsia="宋体" w:cs="宋体"/>
          <w:color w:val="auto"/>
          <w:sz w:val="24"/>
          <w:szCs w:val="24"/>
          <w:highlight w:val="none"/>
          <w:lang w:val="en-US" w:eastAsia="zh-CN"/>
        </w:rPr>
        <w:t>认证证书的暂停</w:t>
      </w:r>
    </w:p>
    <w:p w14:paraId="29B7CE0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13.1</w:t>
      </w:r>
      <w:r>
        <w:rPr>
          <w:rFonts w:hint="default" w:ascii="宋体" w:hAnsi="宋体" w:eastAsia="宋体" w:cs="宋体"/>
          <w:color w:val="auto"/>
          <w:sz w:val="24"/>
          <w:szCs w:val="24"/>
          <w:highlight w:val="none"/>
          <w:lang w:val="en-US" w:eastAsia="zh-CN"/>
        </w:rPr>
        <w:t>.1获证组织有以下情形之一的，</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在调查核实后5日内暂停其认证证书，并保留相应证据：</w:t>
      </w:r>
    </w:p>
    <w:p w14:paraId="7FE07AD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持续或严重不满足认证要求的，包括</w:t>
      </w:r>
      <w:r>
        <w:rPr>
          <w:rFonts w:hint="eastAsia" w:ascii="宋体" w:hAnsi="宋体" w:eastAsia="宋体" w:cs="宋体"/>
          <w:color w:val="auto"/>
          <w:sz w:val="24"/>
          <w:szCs w:val="24"/>
          <w:highlight w:val="none"/>
          <w:lang w:val="en-US" w:eastAsia="zh-CN"/>
        </w:rPr>
        <w:t>体系</w:t>
      </w:r>
      <w:r>
        <w:rPr>
          <w:rFonts w:hint="default" w:ascii="宋体" w:hAnsi="宋体" w:eastAsia="宋体" w:cs="宋体"/>
          <w:color w:val="auto"/>
          <w:sz w:val="24"/>
          <w:szCs w:val="24"/>
          <w:highlight w:val="none"/>
          <w:lang w:val="en-US" w:eastAsia="zh-CN"/>
        </w:rPr>
        <w:t>文件与实际业务运作严重脱离；</w:t>
      </w:r>
    </w:p>
    <w:p w14:paraId="4393353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（2）不满足</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适用的法律法规要求，且未采取有效纠正措施的；</w:t>
      </w:r>
    </w:p>
    <w:p w14:paraId="0049D16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（3）受到与</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相关的行政处罚，且尚未完成整改的；</w:t>
      </w:r>
    </w:p>
    <w:p w14:paraId="7730906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（4）发生重大</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事故，反映获证组织</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运行存在重大缺陷的；</w:t>
      </w:r>
    </w:p>
    <w:p w14:paraId="7098697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（5）拒绝配合市场监管部门的认证执法监督检查，或者提供虚假材料或信息的；</w:t>
      </w:r>
    </w:p>
    <w:p w14:paraId="515C919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（6）持有的与</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范围有关的行政许可文件、资质证书、强制性认证证书等过期失效的；</w:t>
      </w:r>
    </w:p>
    <w:p w14:paraId="042B2E3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（7）不能按照规定的时间间隔接受监督审核的；</w:t>
      </w:r>
    </w:p>
    <w:p w14:paraId="0173B77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（8）未按相关规定正确引用和宣传获得的认证证书和有关信息，包括认证证书和认证标志的使用；</w:t>
      </w:r>
    </w:p>
    <w:p w14:paraId="61D66EE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（9）不承担、履行认证合同约定的责任和义务的；</w:t>
      </w:r>
    </w:p>
    <w:p w14:paraId="0E37B83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（10）被有关行政监管部门责令停业整顿的；</w:t>
      </w:r>
    </w:p>
    <w:p w14:paraId="797BF47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（11）发生与</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相关重大舆情的；</w:t>
      </w:r>
    </w:p>
    <w:p w14:paraId="6BD69C9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（12）主动请求暂停的；</w:t>
      </w:r>
    </w:p>
    <w:p w14:paraId="36E0D97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（13）其他应暂停认证证书的。</w:t>
      </w:r>
    </w:p>
    <w:p w14:paraId="39F7C95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13.1</w:t>
      </w:r>
      <w:r>
        <w:rPr>
          <w:rFonts w:hint="default" w:ascii="宋体" w:hAnsi="宋体" w:eastAsia="宋体" w:cs="宋体"/>
          <w:color w:val="auto"/>
          <w:sz w:val="24"/>
          <w:szCs w:val="24"/>
          <w:highlight w:val="none"/>
          <w:lang w:val="en-US" w:eastAsia="zh-CN"/>
        </w:rPr>
        <w:t>.2认证机构可根据暂停的原因和性质确定暂停期限，暂停期限最长不得超过6个月。</w:t>
      </w:r>
    </w:p>
    <w:p w14:paraId="69906A0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13.1</w:t>
      </w:r>
      <w:r>
        <w:rPr>
          <w:rFonts w:hint="default" w:ascii="宋体" w:hAnsi="宋体" w:eastAsia="宋体" w:cs="宋体"/>
          <w:color w:val="auto"/>
          <w:sz w:val="24"/>
          <w:szCs w:val="24"/>
          <w:highlight w:val="none"/>
          <w:lang w:val="en-US" w:eastAsia="zh-CN"/>
        </w:rPr>
        <w:t>.3暂停期间，</w:t>
      </w:r>
      <w:r>
        <w:rPr>
          <w:rFonts w:hint="eastAsia" w:ascii="宋体" w:hAnsi="宋体" w:eastAsia="宋体" w:cs="宋体"/>
          <w:color w:val="auto"/>
          <w:sz w:val="24"/>
          <w:szCs w:val="24"/>
          <w:highlight w:val="none"/>
          <w:lang w:val="en-US" w:eastAsia="zh-CN"/>
        </w:rPr>
        <w:t>涉及的</w:t>
      </w:r>
      <w:r>
        <w:rPr>
          <w:rFonts w:hint="default" w:ascii="宋体" w:hAnsi="宋体" w:eastAsia="宋体" w:cs="宋体"/>
          <w:color w:val="auto"/>
          <w:sz w:val="24"/>
          <w:szCs w:val="24"/>
          <w:highlight w:val="none"/>
          <w:lang w:val="en-US" w:eastAsia="zh-CN"/>
        </w:rPr>
        <w:t>认证证书暂时无效。如获证组织采取有效的纠正措施，造成暂停的原因已消除的，认证机构应恢复其认证证书，并保留相应证据。</w:t>
      </w:r>
    </w:p>
    <w:p w14:paraId="0CEBD78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13.2</w:t>
      </w:r>
      <w:r>
        <w:rPr>
          <w:rFonts w:hint="default" w:ascii="宋体" w:hAnsi="宋体" w:eastAsia="宋体" w:cs="宋体"/>
          <w:color w:val="auto"/>
          <w:sz w:val="24"/>
          <w:szCs w:val="24"/>
          <w:highlight w:val="none"/>
          <w:lang w:val="en-US" w:eastAsia="zh-CN"/>
        </w:rPr>
        <w:t>认证证书的撤销</w:t>
      </w:r>
    </w:p>
    <w:p w14:paraId="2180B0A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获证组织有以下情形之一的，</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在获得相关信息并调查核实后5日内撤销其认证证书，并保留相应证据：</w:t>
      </w:r>
    </w:p>
    <w:p w14:paraId="5580490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（1）被注销或撤销法律地位证明文件的；</w:t>
      </w:r>
    </w:p>
    <w:p w14:paraId="3AA0CAA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（2）被“国家企业信用信息公示系统”和“信用中国”列入严重违法失信名单的；</w:t>
      </w:r>
    </w:p>
    <w:p w14:paraId="6269640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（3）认证证书的暂停期限已满，但导致暂停的问题未得到解决或有效纠正的；</w:t>
      </w:r>
    </w:p>
    <w:p w14:paraId="5D9A652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（4）经行政监管部门确认因获证组织违规而造成产品和服务等重大质量安全事故的；</w:t>
      </w:r>
    </w:p>
    <w:p w14:paraId="0718286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管理体系</w:t>
      </w:r>
      <w:r>
        <w:rPr>
          <w:rFonts w:hint="default" w:ascii="宋体" w:hAnsi="宋体" w:eastAsia="宋体" w:cs="宋体"/>
          <w:color w:val="auto"/>
          <w:sz w:val="24"/>
          <w:szCs w:val="24"/>
          <w:highlight w:val="none"/>
          <w:lang w:val="en-US" w:eastAsia="zh-CN"/>
        </w:rPr>
        <w:t>没有运行或者已不具备运行条件的；</w:t>
      </w:r>
    </w:p>
    <w:p w14:paraId="3579727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（6）其他应撤销认证证书的。</w:t>
      </w:r>
    </w:p>
    <w:p w14:paraId="78C8BFC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13.3</w:t>
      </w:r>
      <w:r>
        <w:rPr>
          <w:rFonts w:hint="default" w:ascii="宋体" w:hAnsi="宋体" w:eastAsia="宋体" w:cs="宋体"/>
          <w:color w:val="auto"/>
          <w:sz w:val="24"/>
          <w:szCs w:val="24"/>
          <w:highlight w:val="none"/>
          <w:lang w:val="en-US" w:eastAsia="zh-CN"/>
        </w:rPr>
        <w:t>认证证书的注销</w:t>
      </w:r>
    </w:p>
    <w:p w14:paraId="66B79FE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获证组织主动申请不再保持认证证书时，</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确认在不存在暂停或撤销情形后，注销其认证证书，并保留相应证据。</w:t>
      </w:r>
    </w:p>
    <w:p w14:paraId="4C66A3AD">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27" w:name="_Toc30869"/>
      <w:bookmarkStart w:id="28" w:name="_Toc168"/>
      <w:r>
        <w:rPr>
          <w:rFonts w:hint="eastAsia" w:ascii="宋体" w:hAnsi="宋体" w:eastAsia="宋体" w:cs="宋体"/>
          <w:b/>
          <w:color w:val="auto"/>
          <w:sz w:val="24"/>
          <w:szCs w:val="24"/>
          <w:highlight w:val="none"/>
          <w:lang w:val="en-US" w:eastAsia="zh-CN"/>
        </w:rPr>
        <w:t>14申诉（投诉）处理</w:t>
      </w:r>
      <w:bookmarkEnd w:id="27"/>
      <w:bookmarkEnd w:id="28"/>
    </w:p>
    <w:p w14:paraId="5BA3A8E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r>
        <w:rPr>
          <w:rFonts w:hint="default" w:ascii="宋体" w:hAnsi="宋体" w:eastAsia="宋体" w:cs="宋体"/>
          <w:color w:val="auto"/>
          <w:sz w:val="24"/>
          <w:szCs w:val="24"/>
          <w:highlight w:val="none"/>
          <w:lang w:val="en-US" w:eastAsia="zh-CN"/>
        </w:rPr>
        <w:t>.1认认证委托人对认证决定有异议的，可以向</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提出申诉</w:t>
      </w: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任何组织和个人对认证过程和认证决定有异议的，可以向</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提出投诉。</w:t>
      </w:r>
    </w:p>
    <w:p w14:paraId="340B9DF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r>
        <w:rPr>
          <w:rFonts w:hint="default" w:ascii="宋体" w:hAnsi="宋体" w:eastAsia="宋体" w:cs="宋体"/>
          <w:color w:val="auto"/>
          <w:sz w:val="24"/>
          <w:szCs w:val="24"/>
          <w:highlight w:val="none"/>
          <w:lang w:val="en-US" w:eastAsia="zh-CN"/>
        </w:rPr>
        <w:t>.2申诉（投诉）的提交、调查和决定不应造成针对申诉人/投诉人的歧视。</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予以保密申诉人（投诉人）、申诉（投诉）事项的信息。</w:t>
      </w:r>
    </w:p>
    <w:p w14:paraId="5DF1F73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8.3对申诉（投诉）的处理决定，应由与申诉（投诉）事项无关的人员做出，或经其审核和批准，并应在60日内将处理结果书面告知申诉人（投诉人）。</w:t>
      </w:r>
    </w:p>
    <w:p w14:paraId="07B76B12">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29" w:name="_Toc10834"/>
      <w:bookmarkStart w:id="30" w:name="_Toc8557"/>
      <w:r>
        <w:rPr>
          <w:rFonts w:hint="eastAsia" w:ascii="宋体" w:hAnsi="宋体" w:eastAsia="宋体" w:cs="宋体"/>
          <w:b/>
          <w:color w:val="auto"/>
          <w:sz w:val="24"/>
          <w:szCs w:val="24"/>
          <w:highlight w:val="none"/>
          <w:lang w:val="en-US" w:eastAsia="zh-CN"/>
        </w:rPr>
        <w:t>15信息公开与报告</w:t>
      </w:r>
      <w:bookmarkEnd w:id="29"/>
      <w:bookmarkEnd w:id="30"/>
    </w:p>
    <w:p w14:paraId="7A9147E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按照国家认监委关于认证信息上报的要求，按时上报认证相关信息，至少包括：</w:t>
      </w:r>
    </w:p>
    <w:p w14:paraId="29413F9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(1)上一年度工作报告；</w:t>
      </w:r>
    </w:p>
    <w:p w14:paraId="60F7AAB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(2)社会责任报告；</w:t>
      </w:r>
    </w:p>
    <w:p w14:paraId="6A108FC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(3)认证计划及认证结果；</w:t>
      </w:r>
    </w:p>
    <w:p w14:paraId="796F2CB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(4)认证证书的状态；</w:t>
      </w:r>
    </w:p>
    <w:p w14:paraId="2036CA4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(5)其他应报告的信息。</w:t>
      </w:r>
    </w:p>
    <w:p w14:paraId="3DF5E46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r>
        <w:rPr>
          <w:rFonts w:hint="default"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至少在现场审核实施前3日，将审核计划上报国家认监委。</w:t>
      </w:r>
    </w:p>
    <w:p w14:paraId="5804E3B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r>
        <w:rPr>
          <w:rFonts w:hint="default"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在颁发认证证书后，</w:t>
      </w:r>
      <w:r>
        <w:rPr>
          <w:rFonts w:hint="eastAsia" w:ascii="宋体" w:hAnsi="宋体" w:eastAsia="宋体" w:cs="宋体"/>
          <w:color w:val="auto"/>
          <w:sz w:val="24"/>
          <w:szCs w:val="24"/>
          <w:highlight w:val="none"/>
          <w:lang w:val="en-US" w:eastAsia="zh-CN"/>
        </w:rPr>
        <w:t>并</w:t>
      </w:r>
      <w:r>
        <w:rPr>
          <w:rFonts w:hint="default" w:ascii="宋体" w:hAnsi="宋体" w:eastAsia="宋体" w:cs="宋体"/>
          <w:color w:val="auto"/>
          <w:sz w:val="24"/>
          <w:szCs w:val="24"/>
          <w:highlight w:val="none"/>
          <w:lang w:val="en-US" w:eastAsia="zh-CN"/>
        </w:rPr>
        <w:t>在次月10日前将认证结果相关信息报送国家认监委。</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通过</w:t>
      </w:r>
      <w:r>
        <w:rPr>
          <w:rFonts w:hint="eastAsia" w:ascii="宋体" w:hAnsi="宋体" w:eastAsia="宋体" w:cs="宋体"/>
          <w:color w:val="auto"/>
          <w:sz w:val="24"/>
          <w:szCs w:val="24"/>
          <w:highlight w:val="none"/>
          <w:lang w:val="en-US" w:eastAsia="zh-CN"/>
        </w:rPr>
        <w:t>官方</w:t>
      </w:r>
      <w:r>
        <w:rPr>
          <w:rFonts w:hint="default" w:ascii="宋体" w:hAnsi="宋体" w:eastAsia="宋体" w:cs="宋体"/>
          <w:color w:val="auto"/>
          <w:sz w:val="24"/>
          <w:szCs w:val="24"/>
          <w:highlight w:val="none"/>
          <w:lang w:val="en-US" w:eastAsia="zh-CN"/>
        </w:rPr>
        <w:t>网站</w:t>
      </w: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“全国认证认可信息公共服务平台（认e云）”</w:t>
      </w:r>
      <w:r>
        <w:rPr>
          <w:rFonts w:hint="eastAsia" w:ascii="宋体" w:hAnsi="宋体" w:eastAsia="宋体" w:cs="宋体"/>
          <w:color w:val="auto"/>
          <w:sz w:val="24"/>
          <w:szCs w:val="24"/>
          <w:highlight w:val="none"/>
          <w:lang w:val="en-US" w:eastAsia="zh-CN"/>
        </w:rPr>
        <w:t>及</w:t>
      </w:r>
      <w:r>
        <w:rPr>
          <w:rFonts w:hint="default" w:ascii="宋体" w:hAnsi="宋体" w:eastAsia="宋体" w:cs="宋体"/>
          <w:color w:val="auto"/>
          <w:sz w:val="24"/>
          <w:szCs w:val="24"/>
          <w:highlight w:val="none"/>
          <w:lang w:val="en-US" w:eastAsia="zh-CN"/>
        </w:rPr>
        <w:t>其他形式查询路径，向公众提供查询认证证书有效性的方式。</w:t>
      </w:r>
    </w:p>
    <w:p w14:paraId="08B9348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r>
        <w:rPr>
          <w:rFonts w:hint="default"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通过</w:t>
      </w:r>
      <w:r>
        <w:rPr>
          <w:rFonts w:hint="eastAsia" w:ascii="宋体" w:hAnsi="宋体" w:eastAsia="宋体" w:cs="宋体"/>
          <w:color w:val="auto"/>
          <w:sz w:val="24"/>
          <w:szCs w:val="24"/>
          <w:highlight w:val="none"/>
          <w:lang w:val="en-US" w:eastAsia="zh-CN"/>
        </w:rPr>
        <w:t>官方</w:t>
      </w:r>
      <w:r>
        <w:rPr>
          <w:rFonts w:hint="default" w:ascii="宋体" w:hAnsi="宋体" w:eastAsia="宋体" w:cs="宋体"/>
          <w:color w:val="auto"/>
          <w:sz w:val="24"/>
          <w:szCs w:val="24"/>
          <w:highlight w:val="none"/>
          <w:lang w:val="en-US" w:eastAsia="zh-CN"/>
        </w:rPr>
        <w:t>网站</w:t>
      </w:r>
      <w:r>
        <w:rPr>
          <w:rFonts w:hint="eastAsia" w:ascii="宋体" w:hAnsi="宋体" w:eastAsia="宋体" w:cs="宋体"/>
          <w:color w:val="auto"/>
          <w:sz w:val="24"/>
          <w:szCs w:val="24"/>
          <w:highlight w:val="none"/>
          <w:lang w:val="en-US" w:eastAsia="zh-CN"/>
        </w:rPr>
        <w:t>、</w:t>
      </w:r>
      <w:r>
        <w:rPr>
          <w:rFonts w:hint="default" w:ascii="宋体" w:hAnsi="宋体" w:eastAsia="宋体" w:cs="宋体"/>
          <w:color w:val="auto"/>
          <w:sz w:val="24"/>
          <w:szCs w:val="24"/>
          <w:highlight w:val="none"/>
          <w:lang w:val="en-US" w:eastAsia="zh-CN"/>
        </w:rPr>
        <w:t>“全国认证认可信息公共服务平台（认e云）”</w:t>
      </w:r>
      <w:r>
        <w:rPr>
          <w:rFonts w:hint="eastAsia" w:ascii="宋体" w:hAnsi="宋体" w:eastAsia="宋体" w:cs="宋体"/>
          <w:color w:val="auto"/>
          <w:sz w:val="24"/>
          <w:szCs w:val="24"/>
          <w:highlight w:val="none"/>
          <w:lang w:val="en-US" w:eastAsia="zh-CN"/>
        </w:rPr>
        <w:t>及</w:t>
      </w:r>
      <w:r>
        <w:rPr>
          <w:rFonts w:hint="default" w:ascii="宋体" w:hAnsi="宋体" w:eastAsia="宋体" w:cs="宋体"/>
          <w:color w:val="auto"/>
          <w:sz w:val="24"/>
          <w:szCs w:val="24"/>
          <w:highlight w:val="none"/>
          <w:lang w:val="en-US" w:eastAsia="zh-CN"/>
        </w:rPr>
        <w:t>其他形式查询路径公开暂停、撤销、注销认证证书的信息。</w:t>
      </w:r>
      <w:r>
        <w:rPr>
          <w:rFonts w:hint="eastAsia" w:ascii="宋体" w:hAnsi="宋体" w:eastAsia="宋体" w:cs="宋体"/>
          <w:color w:val="auto"/>
          <w:sz w:val="24"/>
          <w:szCs w:val="24"/>
          <w:highlight w:val="none"/>
          <w:lang w:val="en-US" w:eastAsia="zh-CN"/>
        </w:rPr>
        <w:t>包括</w:t>
      </w:r>
      <w:r>
        <w:rPr>
          <w:rFonts w:hint="default" w:ascii="宋体" w:hAnsi="宋体" w:eastAsia="宋体" w:cs="宋体"/>
          <w:color w:val="auto"/>
          <w:sz w:val="24"/>
          <w:szCs w:val="24"/>
          <w:highlight w:val="none"/>
          <w:lang w:val="en-US" w:eastAsia="zh-CN"/>
        </w:rPr>
        <w:t>明确暂停的起始日期和暂停期限</w:t>
      </w:r>
      <w:r>
        <w:rPr>
          <w:rFonts w:hint="eastAsia" w:ascii="宋体" w:hAnsi="宋体" w:eastAsia="宋体" w:cs="宋体"/>
          <w:color w:val="auto"/>
          <w:sz w:val="24"/>
          <w:szCs w:val="24"/>
          <w:highlight w:val="none"/>
          <w:lang w:val="en-US" w:eastAsia="zh-CN"/>
        </w:rPr>
        <w:t>以及</w:t>
      </w:r>
      <w:r>
        <w:rPr>
          <w:rFonts w:hint="default" w:ascii="宋体" w:hAnsi="宋体" w:eastAsia="宋体" w:cs="宋体"/>
          <w:color w:val="auto"/>
          <w:sz w:val="24"/>
          <w:szCs w:val="24"/>
          <w:highlight w:val="none"/>
          <w:lang w:val="en-US" w:eastAsia="zh-CN"/>
        </w:rPr>
        <w:t>撤销、注销</w:t>
      </w:r>
      <w:r>
        <w:rPr>
          <w:rFonts w:hint="eastAsia" w:ascii="宋体" w:hAnsi="宋体" w:eastAsia="宋体" w:cs="宋体"/>
          <w:color w:val="auto"/>
          <w:sz w:val="24"/>
          <w:szCs w:val="24"/>
          <w:highlight w:val="none"/>
          <w:lang w:val="en-US" w:eastAsia="zh-CN"/>
        </w:rPr>
        <w:t>日期，并</w:t>
      </w:r>
      <w:r>
        <w:rPr>
          <w:rFonts w:hint="default" w:ascii="宋体" w:hAnsi="宋体" w:eastAsia="宋体" w:cs="宋体"/>
          <w:color w:val="auto"/>
          <w:sz w:val="24"/>
          <w:szCs w:val="24"/>
          <w:highlight w:val="none"/>
          <w:lang w:val="en-US" w:eastAsia="zh-CN"/>
        </w:rPr>
        <w:t>在暂停、撤销、注销认证证书之日起2个工作日内，按规定程序和要求将相关信息报送国家认监委。</w:t>
      </w:r>
    </w:p>
    <w:p w14:paraId="69DA821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15</w:t>
      </w:r>
      <w:r>
        <w:rPr>
          <w:rFonts w:hint="default" w:ascii="宋体" w:hAnsi="宋体" w:eastAsia="宋体" w:cs="宋体"/>
          <w:color w:val="auto"/>
          <w:sz w:val="24"/>
          <w:szCs w:val="24"/>
          <w:highlight w:val="none"/>
          <w:lang w:val="en-US" w:eastAsia="zh-CN"/>
        </w:rPr>
        <w:t>.5获证组织发生重大质量事故的，</w:t>
      </w: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对该组织的认证过程进行自查，并按照认证行政监管部门的要求，在规定的时间内提供相关认证材料。</w:t>
      </w:r>
    </w:p>
    <w:p w14:paraId="44CBC39C">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31" w:name="_Toc32014"/>
      <w:bookmarkStart w:id="32" w:name="_Toc3743"/>
      <w:r>
        <w:rPr>
          <w:rFonts w:hint="eastAsia" w:ascii="宋体" w:hAnsi="宋体" w:eastAsia="宋体" w:cs="宋体"/>
          <w:b/>
          <w:color w:val="auto"/>
          <w:sz w:val="24"/>
          <w:szCs w:val="24"/>
          <w:highlight w:val="none"/>
          <w:lang w:val="en-US" w:eastAsia="zh-CN"/>
        </w:rPr>
        <w:t>16认证记录</w:t>
      </w:r>
      <w:bookmarkEnd w:id="31"/>
      <w:bookmarkEnd w:id="32"/>
    </w:p>
    <w:p w14:paraId="4F397E21">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公司认证记录</w:t>
      </w:r>
      <w:r>
        <w:rPr>
          <w:rFonts w:hint="default" w:ascii="宋体" w:hAnsi="宋体" w:eastAsia="宋体" w:cs="宋体"/>
          <w:color w:val="auto"/>
          <w:sz w:val="24"/>
          <w:szCs w:val="24"/>
          <w:highlight w:val="none"/>
          <w:lang w:val="en-US" w:eastAsia="zh-CN"/>
        </w:rPr>
        <w:t>归档留存期限为认证证书有效期届满之日起2年以上，或被注销、撤销之日起2年以上。</w:t>
      </w:r>
    </w:p>
    <w:p w14:paraId="5F0BF9F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2认证记录包括但不限于：</w:t>
      </w:r>
    </w:p>
    <w:p w14:paraId="23AE1383">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（1）认证申请书；</w:t>
      </w:r>
    </w:p>
    <w:p w14:paraId="5C5608E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（2）认证申请评审记录；</w:t>
      </w:r>
    </w:p>
    <w:p w14:paraId="4860A9E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（3）认证合同；</w:t>
      </w:r>
    </w:p>
    <w:p w14:paraId="582E7D1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（4）审核方案，包括多场所抽样方法（适用时）；</w:t>
      </w:r>
    </w:p>
    <w:p w14:paraId="06CBFBA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（5）确定审核时间的理由（计算过程）；</w:t>
      </w:r>
    </w:p>
    <w:p w14:paraId="7BDEB37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（6）审核计划；</w:t>
      </w:r>
    </w:p>
    <w:p w14:paraId="0782577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（7）首、末次会议签到表；</w:t>
      </w:r>
    </w:p>
    <w:p w14:paraId="6AFDAE6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（8）现场审核记录；</w:t>
      </w:r>
    </w:p>
    <w:p w14:paraId="09A96CF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（9）不符合报告及验证记录；</w:t>
      </w:r>
    </w:p>
    <w:p w14:paraId="1793EB9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（10）审核报告；</w:t>
      </w:r>
    </w:p>
    <w:p w14:paraId="4A0743D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（11）认证决定记录。</w:t>
      </w:r>
    </w:p>
    <w:p w14:paraId="72DFB25A">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.3在认证证书有效期内，认证活动参与各方签字或者盖章的认证记录、资料等保存具有法律效力的原件，可以纸质文件或符合《电子签名法》规定的电子文件形式保存。签字或盖章的认证记录至少包括：</w:t>
      </w:r>
    </w:p>
    <w:p w14:paraId="2B44A31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（1）认证申请书；</w:t>
      </w:r>
    </w:p>
    <w:p w14:paraId="0AA7B298">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（2）认证合同；</w:t>
      </w:r>
    </w:p>
    <w:p w14:paraId="1477AC3B">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（3）审核计划；</w:t>
      </w:r>
    </w:p>
    <w:p w14:paraId="7533180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（4）首、末次会议签到表；</w:t>
      </w:r>
    </w:p>
    <w:p w14:paraId="5E8DF062">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（5）不符合报告；</w:t>
      </w:r>
    </w:p>
    <w:p w14:paraId="77A437D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（6）认证决定的结论。</w:t>
      </w:r>
    </w:p>
    <w:p w14:paraId="03D58DA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.4认证记录应使用中文，以电子文档形式保存认证记录的，应采用不可编辑的方式。</w:t>
      </w:r>
    </w:p>
    <w:p w14:paraId="172CE1E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6</w:t>
      </w:r>
      <w:r>
        <w:rPr>
          <w:rFonts w:hint="default" w:ascii="宋体" w:hAnsi="宋体" w:eastAsia="宋体" w:cs="宋体"/>
          <w:color w:val="auto"/>
          <w:sz w:val="24"/>
          <w:szCs w:val="24"/>
          <w:highlight w:val="none"/>
          <w:lang w:val="en-US" w:eastAsia="zh-CN"/>
        </w:rPr>
        <w:t>.5为了证实认证活动的实施，除了上述认证记录外，获证组织应留存认证证书有效期内相应的认证记录，至少包括：</w:t>
      </w:r>
    </w:p>
    <w:p w14:paraId="660E897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（1）认证合同；</w:t>
      </w:r>
    </w:p>
    <w:p w14:paraId="7E721E50">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（2）审核计划；</w:t>
      </w:r>
    </w:p>
    <w:p w14:paraId="64E7EB1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（3）首、末次会议签到表；</w:t>
      </w:r>
    </w:p>
    <w:p w14:paraId="7FB96D3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（4）不符合报告及原因分析和纠正措施；</w:t>
      </w:r>
    </w:p>
    <w:p w14:paraId="51B669D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（5）审核报告；</w:t>
      </w:r>
    </w:p>
    <w:p w14:paraId="6EE16DB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（6）暂停、撤销通知（适用时）。</w:t>
      </w:r>
    </w:p>
    <w:p w14:paraId="3B4246C1">
      <w:pPr>
        <w:keepNext w:val="0"/>
        <w:keepLines w:val="0"/>
        <w:widowControl/>
        <w:kinsoku/>
        <w:wordWrap/>
        <w:overflowPunct/>
        <w:topLinePunct w:val="0"/>
        <w:autoSpaceDE/>
        <w:autoSpaceDN/>
        <w:bidi w:val="0"/>
        <w:adjustRightInd/>
        <w:snapToGrid/>
        <w:spacing w:beforeLines="0" w:afterLines="0" w:line="324" w:lineRule="auto"/>
        <w:jc w:val="left"/>
        <w:textAlignment w:val="auto"/>
        <w:outlineLvl w:val="0"/>
        <w:rPr>
          <w:rFonts w:hint="eastAsia" w:ascii="宋体" w:hAnsi="宋体" w:eastAsia="宋体" w:cs="宋体"/>
          <w:b/>
          <w:color w:val="auto"/>
          <w:sz w:val="24"/>
          <w:szCs w:val="24"/>
          <w:highlight w:val="none"/>
          <w:lang w:val="en-US" w:eastAsia="zh-CN"/>
        </w:rPr>
      </w:pPr>
      <w:bookmarkStart w:id="33" w:name="_Toc26764"/>
      <w:bookmarkStart w:id="34" w:name="_Toc13398"/>
      <w:r>
        <w:rPr>
          <w:rFonts w:hint="eastAsia" w:ascii="宋体" w:hAnsi="宋体" w:eastAsia="宋体" w:cs="宋体"/>
          <w:b/>
          <w:color w:val="auto"/>
          <w:sz w:val="24"/>
          <w:szCs w:val="24"/>
          <w:highlight w:val="none"/>
          <w:lang w:val="en-US" w:eastAsia="zh-CN"/>
        </w:rPr>
        <w:t>17其他</w:t>
      </w:r>
      <w:bookmarkEnd w:id="33"/>
      <w:bookmarkEnd w:id="34"/>
    </w:p>
    <w:p w14:paraId="19B51A6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en-US" w:eastAsia="zh-CN"/>
        </w:rPr>
        <w:t>7</w:t>
      </w:r>
      <w:r>
        <w:rPr>
          <w:rFonts w:hint="default" w:ascii="宋体" w:hAnsi="宋体" w:eastAsia="宋体" w:cs="宋体"/>
          <w:color w:val="auto"/>
          <w:sz w:val="24"/>
          <w:szCs w:val="24"/>
          <w:highlight w:val="none"/>
          <w:lang w:val="en-US" w:eastAsia="zh-CN"/>
        </w:rPr>
        <w:t>.1认证标准换版</w:t>
      </w:r>
    </w:p>
    <w:p w14:paraId="77328BAE">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公司</w:t>
      </w:r>
      <w:r>
        <w:rPr>
          <w:rFonts w:hint="default" w:ascii="宋体" w:hAnsi="宋体" w:eastAsia="宋体" w:cs="宋体"/>
          <w:color w:val="auto"/>
          <w:sz w:val="24"/>
          <w:szCs w:val="24"/>
          <w:highlight w:val="none"/>
          <w:lang w:val="en-US" w:eastAsia="zh-CN"/>
        </w:rPr>
        <w:t>按照国家认监委发布的管理体系认证标准换版工作要求，落实标准的换版工作，确保认证委托人能够及时获得新版标准认证。</w:t>
      </w:r>
    </w:p>
    <w:p w14:paraId="1E79DE5B">
      <w:pPr>
        <w:keepNext w:val="0"/>
        <w:keepLines w:val="0"/>
        <w:pageBreakBefore w:val="0"/>
        <w:widowControl/>
        <w:kinsoku/>
        <w:wordWrap/>
        <w:overflowPunct/>
        <w:topLinePunct w:val="0"/>
        <w:autoSpaceDE/>
        <w:autoSpaceDN/>
        <w:bidi w:val="0"/>
        <w:adjustRightInd/>
        <w:snapToGrid/>
        <w:spacing w:beforeLines="0" w:afterLines="0" w:line="360" w:lineRule="auto"/>
        <w:jc w:val="left"/>
        <w:textAlignment w:val="auto"/>
        <w:outlineLvl w:val="0"/>
        <w:rPr>
          <w:rFonts w:hint="default" w:ascii="宋体" w:hAnsi="宋体" w:eastAsia="宋体" w:cs="宋体"/>
          <w:b/>
          <w:bCs/>
          <w:color w:val="auto"/>
          <w:sz w:val="24"/>
          <w:szCs w:val="24"/>
          <w:highlight w:val="none"/>
          <w:lang w:val="en-US" w:eastAsia="zh-CN"/>
        </w:rPr>
      </w:pPr>
      <w:bookmarkStart w:id="35" w:name="_Toc10472"/>
      <w:bookmarkStart w:id="36" w:name="_Toc19912"/>
      <w:bookmarkStart w:id="37" w:name="_Toc16997"/>
      <w:r>
        <w:rPr>
          <w:rFonts w:hint="eastAsia" w:ascii="宋体" w:hAnsi="宋体" w:eastAsia="宋体" w:cs="宋体"/>
          <w:b/>
          <w:bCs/>
          <w:color w:val="auto"/>
          <w:sz w:val="24"/>
          <w:szCs w:val="24"/>
          <w:highlight w:val="none"/>
          <w:lang w:val="en-US" w:eastAsia="zh-CN"/>
        </w:rPr>
        <w:t>18附件</w:t>
      </w:r>
      <w:bookmarkEnd w:id="35"/>
      <w:bookmarkEnd w:id="36"/>
      <w:bookmarkEnd w:id="37"/>
    </w:p>
    <w:p w14:paraId="48825FFE">
      <w:pPr>
        <w:spacing w:before="0" w:line="324" w:lineRule="auto"/>
        <w:ind w:left="0" w:right="0" w:firstLine="0"/>
        <w:jc w:val="left"/>
        <w:outlineLvl w:val="9"/>
        <w:rPr>
          <w:rFonts w:hint="eastAsia" w:ascii="宋体" w:hAnsi="宋体" w:eastAsia="宋体" w:cs="宋体"/>
          <w:color w:val="auto"/>
          <w:sz w:val="24"/>
          <w:szCs w:val="24"/>
          <w:highlight w:val="none"/>
          <w:lang w:val="en-US" w:eastAsia="zh-CN"/>
        </w:rPr>
      </w:pPr>
      <w:bookmarkStart w:id="38" w:name="_Toc21747"/>
      <w:r>
        <w:rPr>
          <w:rFonts w:hint="eastAsia" w:ascii="宋体" w:hAnsi="宋体" w:eastAsia="宋体" w:cs="宋体"/>
          <w:color w:val="auto"/>
          <w:sz w:val="24"/>
          <w:szCs w:val="24"/>
          <w:highlight w:val="none"/>
          <w:lang w:val="en-US" w:eastAsia="zh-CN"/>
        </w:rPr>
        <w:t>18.1</w:t>
      </w:r>
    </w:p>
    <w:p w14:paraId="7363FD76">
      <w:pPr>
        <w:spacing w:line="324" w:lineRule="auto"/>
        <w:jc w:val="center"/>
        <w:outlineLvl w:val="9"/>
        <w:rPr>
          <w:rFonts w:ascii="宋体" w:hAnsi="宋体" w:eastAsia="宋体" w:cs="宋体"/>
          <w:b/>
          <w:bCs/>
          <w:color w:val="auto"/>
          <w:sz w:val="32"/>
          <w:szCs w:val="32"/>
          <w:highlight w:val="none"/>
          <w:lang w:val="en-US" w:eastAsia="zh-CN"/>
        </w:rPr>
      </w:pPr>
      <w:r>
        <w:rPr>
          <w:rFonts w:ascii="宋体" w:hAnsi="宋体" w:eastAsia="宋体" w:cs="宋体"/>
          <w:b/>
          <w:bCs/>
          <w:color w:val="auto"/>
          <w:spacing w:val="0"/>
          <w:sz w:val="32"/>
          <w:szCs w:val="32"/>
          <w:highlight w:val="none"/>
          <w:lang w:val="en-US" w:eastAsia="zh-CN"/>
        </w:rPr>
        <w:t>管理体系认证业务范围分类</w:t>
      </w:r>
      <w:bookmarkStart w:id="39" w:name="bookmark41"/>
      <w:bookmarkEnd w:id="39"/>
      <w:r>
        <w:rPr>
          <w:rFonts w:ascii="宋体" w:hAnsi="宋体" w:eastAsia="宋体" w:cs="宋体"/>
          <w:b/>
          <w:bCs/>
          <w:color w:val="auto"/>
          <w:spacing w:val="0"/>
          <w:sz w:val="32"/>
          <w:szCs w:val="32"/>
          <w:highlight w:val="none"/>
          <w:lang w:val="en-US" w:eastAsia="zh-CN"/>
        </w:rPr>
        <w:t>和风险类型示例</w:t>
      </w:r>
    </w:p>
    <w:p w14:paraId="438EACEB">
      <w:pPr>
        <w:spacing w:before="0" w:line="324" w:lineRule="auto"/>
        <w:ind w:left="0"/>
        <w:jc w:val="center"/>
        <w:outlineLvl w:val="9"/>
        <w:rPr>
          <w:rFonts w:ascii="宋体" w:hAnsi="宋体" w:eastAsia="宋体" w:cs="宋体"/>
          <w:color w:val="auto"/>
          <w:sz w:val="24"/>
          <w:szCs w:val="24"/>
          <w:highlight w:val="none"/>
          <w:lang w:val="en-US" w:eastAsia="zh-CN"/>
        </w:rPr>
      </w:pPr>
      <w:r>
        <w:rPr>
          <w:rFonts w:ascii="宋体" w:hAnsi="宋体" w:eastAsia="宋体" w:cs="宋体"/>
          <w:color w:val="auto"/>
          <w:spacing w:val="0"/>
          <w:sz w:val="24"/>
          <w:szCs w:val="24"/>
          <w:highlight w:val="none"/>
          <w:lang w:val="en-US" w:eastAsia="zh-CN"/>
        </w:rPr>
        <w:t>质量管理体系认证业务范围共划分为39大类，详见表1。</w:t>
      </w:r>
    </w:p>
    <w:p w14:paraId="28B19287">
      <w:pPr>
        <w:spacing w:before="0" w:line="324" w:lineRule="auto"/>
        <w:ind w:left="0"/>
        <w:jc w:val="center"/>
        <w:outlineLvl w:val="9"/>
        <w:rPr>
          <w:rFonts w:ascii="宋体" w:hAnsi="宋体" w:eastAsia="宋体" w:cs="宋体"/>
          <w:color w:val="auto"/>
          <w:sz w:val="24"/>
          <w:szCs w:val="24"/>
          <w:highlight w:val="none"/>
          <w:lang w:val="en-US" w:eastAsia="zh-CN"/>
        </w:rPr>
      </w:pPr>
      <w:r>
        <w:rPr>
          <w:rFonts w:ascii="宋体" w:hAnsi="宋体" w:eastAsia="宋体" w:cs="宋体"/>
          <w:b w:val="0"/>
          <w:bCs w:val="0"/>
          <w:color w:val="auto"/>
          <w:spacing w:val="0"/>
          <w:sz w:val="24"/>
          <w:szCs w:val="24"/>
          <w:highlight w:val="none"/>
          <w:lang w:val="en-US" w:eastAsia="zh-CN"/>
        </w:rPr>
        <w:t>表</w:t>
      </w:r>
      <w:r>
        <w:rPr>
          <w:rFonts w:hint="eastAsia" w:ascii="宋体" w:hAnsi="宋体" w:eastAsia="宋体" w:cs="宋体"/>
          <w:b w:val="0"/>
          <w:bCs w:val="0"/>
          <w:color w:val="auto"/>
          <w:spacing w:val="0"/>
          <w:sz w:val="24"/>
          <w:szCs w:val="24"/>
          <w:highlight w:val="none"/>
          <w:lang w:val="en-US" w:eastAsia="zh-CN"/>
        </w:rPr>
        <w:t>1</w:t>
      </w:r>
      <w:r>
        <w:rPr>
          <w:rFonts w:ascii="宋体" w:hAnsi="宋体" w:eastAsia="宋体" w:cs="宋体"/>
          <w:b w:val="0"/>
          <w:bCs w:val="0"/>
          <w:color w:val="auto"/>
          <w:spacing w:val="0"/>
          <w:sz w:val="24"/>
          <w:szCs w:val="24"/>
          <w:highlight w:val="none"/>
          <w:lang w:val="en-US" w:eastAsia="zh-CN"/>
        </w:rPr>
        <w:t>质量管理体系认证业务范围分类</w:t>
      </w:r>
    </w:p>
    <w:p w14:paraId="6AA029B1">
      <w:pPr>
        <w:spacing w:line="150" w:lineRule="exact"/>
        <w:rPr>
          <w:color w:val="auto"/>
          <w:highlight w:val="none"/>
        </w:rPr>
      </w:pPr>
    </w:p>
    <w:tbl>
      <w:tblPr>
        <w:tblStyle w:val="18"/>
        <w:tblW w:w="91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8"/>
        <w:gridCol w:w="3447"/>
        <w:gridCol w:w="781"/>
        <w:gridCol w:w="4012"/>
      </w:tblGrid>
      <w:tr w14:paraId="5CDD99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jc w:val="center"/>
        </w:trPr>
        <w:tc>
          <w:tcPr>
            <w:tcW w:w="938" w:type="dxa"/>
            <w:vAlign w:val="center"/>
          </w:tcPr>
          <w:p w14:paraId="263BCAFB">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8"/>
                <w:sz w:val="24"/>
                <w:szCs w:val="24"/>
                <w:highlight w:val="none"/>
              </w:rPr>
              <w:t>编号</w:t>
            </w:r>
          </w:p>
        </w:tc>
        <w:tc>
          <w:tcPr>
            <w:tcW w:w="3447" w:type="dxa"/>
            <w:vAlign w:val="center"/>
          </w:tcPr>
          <w:p w14:paraId="2911A03B">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认证业务范围名称</w:t>
            </w:r>
          </w:p>
        </w:tc>
        <w:tc>
          <w:tcPr>
            <w:tcW w:w="781" w:type="dxa"/>
            <w:vAlign w:val="center"/>
          </w:tcPr>
          <w:p w14:paraId="7B3B876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8"/>
                <w:sz w:val="24"/>
                <w:szCs w:val="24"/>
                <w:highlight w:val="none"/>
              </w:rPr>
              <w:t>编号</w:t>
            </w:r>
          </w:p>
        </w:tc>
        <w:tc>
          <w:tcPr>
            <w:tcW w:w="4012" w:type="dxa"/>
            <w:vAlign w:val="center"/>
          </w:tcPr>
          <w:p w14:paraId="142CD90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4"/>
                <w:sz w:val="24"/>
                <w:szCs w:val="24"/>
                <w:highlight w:val="none"/>
              </w:rPr>
              <w:t>认证业务范围名称</w:t>
            </w:r>
          </w:p>
        </w:tc>
      </w:tr>
      <w:tr w14:paraId="690A04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jc w:val="center"/>
        </w:trPr>
        <w:tc>
          <w:tcPr>
            <w:tcW w:w="938" w:type="dxa"/>
            <w:vAlign w:val="center"/>
          </w:tcPr>
          <w:p w14:paraId="3B2B7025">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01</w:t>
            </w:r>
          </w:p>
        </w:tc>
        <w:tc>
          <w:tcPr>
            <w:tcW w:w="3447" w:type="dxa"/>
            <w:vAlign w:val="center"/>
          </w:tcPr>
          <w:p w14:paraId="330222C6">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农业、林业和渔业</w:t>
            </w:r>
          </w:p>
        </w:tc>
        <w:tc>
          <w:tcPr>
            <w:tcW w:w="781" w:type="dxa"/>
            <w:vAlign w:val="center"/>
          </w:tcPr>
          <w:p w14:paraId="390AF639">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21</w:t>
            </w:r>
          </w:p>
        </w:tc>
        <w:tc>
          <w:tcPr>
            <w:tcW w:w="4012" w:type="dxa"/>
            <w:vAlign w:val="center"/>
          </w:tcPr>
          <w:p w14:paraId="71270FE0">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航空航天</w:t>
            </w:r>
          </w:p>
        </w:tc>
      </w:tr>
      <w:tr w14:paraId="3F916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jc w:val="center"/>
        </w:trPr>
        <w:tc>
          <w:tcPr>
            <w:tcW w:w="938" w:type="dxa"/>
            <w:vAlign w:val="center"/>
          </w:tcPr>
          <w:p w14:paraId="3D7DE2D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02</w:t>
            </w:r>
          </w:p>
        </w:tc>
        <w:tc>
          <w:tcPr>
            <w:tcW w:w="3447" w:type="dxa"/>
            <w:vAlign w:val="center"/>
          </w:tcPr>
          <w:p w14:paraId="63B04165">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采矿业和采石业</w:t>
            </w:r>
          </w:p>
        </w:tc>
        <w:tc>
          <w:tcPr>
            <w:tcW w:w="781" w:type="dxa"/>
            <w:vAlign w:val="center"/>
          </w:tcPr>
          <w:p w14:paraId="078B632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22</w:t>
            </w:r>
          </w:p>
        </w:tc>
        <w:tc>
          <w:tcPr>
            <w:tcW w:w="4012" w:type="dxa"/>
            <w:vAlign w:val="center"/>
          </w:tcPr>
          <w:p w14:paraId="58769F0B">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其他运输设备</w:t>
            </w:r>
          </w:p>
        </w:tc>
      </w:tr>
      <w:tr w14:paraId="0D8D63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jc w:val="center"/>
        </w:trPr>
        <w:tc>
          <w:tcPr>
            <w:tcW w:w="938" w:type="dxa"/>
            <w:vAlign w:val="center"/>
          </w:tcPr>
          <w:p w14:paraId="1B01C6B4">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03</w:t>
            </w:r>
          </w:p>
        </w:tc>
        <w:tc>
          <w:tcPr>
            <w:tcW w:w="3447" w:type="dxa"/>
            <w:vAlign w:val="center"/>
          </w:tcPr>
          <w:p w14:paraId="034D2B57">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食品、饮料和烟草</w:t>
            </w:r>
          </w:p>
        </w:tc>
        <w:tc>
          <w:tcPr>
            <w:tcW w:w="781" w:type="dxa"/>
            <w:vAlign w:val="center"/>
          </w:tcPr>
          <w:p w14:paraId="2A4BEAFF">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23</w:t>
            </w:r>
          </w:p>
        </w:tc>
        <w:tc>
          <w:tcPr>
            <w:tcW w:w="4012" w:type="dxa"/>
            <w:vAlign w:val="center"/>
          </w:tcPr>
          <w:p w14:paraId="2CA0BE60">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其他未另分类制造业</w:t>
            </w:r>
          </w:p>
        </w:tc>
      </w:tr>
      <w:tr w14:paraId="05C657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47856D4C">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04</w:t>
            </w:r>
          </w:p>
        </w:tc>
        <w:tc>
          <w:tcPr>
            <w:tcW w:w="3447" w:type="dxa"/>
            <w:vAlign w:val="center"/>
          </w:tcPr>
          <w:p w14:paraId="30A2DA67">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纺织品及纺织制品</w:t>
            </w:r>
          </w:p>
        </w:tc>
        <w:tc>
          <w:tcPr>
            <w:tcW w:w="781" w:type="dxa"/>
            <w:vAlign w:val="center"/>
          </w:tcPr>
          <w:p w14:paraId="571A42C9">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24</w:t>
            </w:r>
          </w:p>
        </w:tc>
        <w:tc>
          <w:tcPr>
            <w:tcW w:w="4012" w:type="dxa"/>
            <w:vAlign w:val="center"/>
          </w:tcPr>
          <w:p w14:paraId="5BAF5C5F">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2"/>
                <w:sz w:val="24"/>
                <w:szCs w:val="24"/>
                <w:highlight w:val="none"/>
              </w:rPr>
              <w:t>回收业</w:t>
            </w:r>
          </w:p>
        </w:tc>
      </w:tr>
      <w:tr w14:paraId="67B4A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3A66626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05</w:t>
            </w:r>
          </w:p>
        </w:tc>
        <w:tc>
          <w:tcPr>
            <w:tcW w:w="3447" w:type="dxa"/>
            <w:vAlign w:val="center"/>
          </w:tcPr>
          <w:p w14:paraId="286DAD9D">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皮革及皮革制品</w:t>
            </w:r>
          </w:p>
        </w:tc>
        <w:tc>
          <w:tcPr>
            <w:tcW w:w="781" w:type="dxa"/>
            <w:vAlign w:val="center"/>
          </w:tcPr>
          <w:p w14:paraId="1D1853DC">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25</w:t>
            </w:r>
          </w:p>
        </w:tc>
        <w:tc>
          <w:tcPr>
            <w:tcW w:w="4012" w:type="dxa"/>
            <w:vAlign w:val="center"/>
          </w:tcPr>
          <w:p w14:paraId="02BA403A">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供电业</w:t>
            </w:r>
          </w:p>
        </w:tc>
      </w:tr>
      <w:tr w14:paraId="53A210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4" w:hRule="atLeast"/>
          <w:jc w:val="center"/>
        </w:trPr>
        <w:tc>
          <w:tcPr>
            <w:tcW w:w="938" w:type="dxa"/>
            <w:vAlign w:val="center"/>
          </w:tcPr>
          <w:p w14:paraId="0EBA5AB6">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06</w:t>
            </w:r>
          </w:p>
        </w:tc>
        <w:tc>
          <w:tcPr>
            <w:tcW w:w="3447" w:type="dxa"/>
            <w:vAlign w:val="center"/>
          </w:tcPr>
          <w:p w14:paraId="0E79459A">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木材及木制品</w:t>
            </w:r>
          </w:p>
        </w:tc>
        <w:tc>
          <w:tcPr>
            <w:tcW w:w="781" w:type="dxa"/>
            <w:vAlign w:val="center"/>
          </w:tcPr>
          <w:p w14:paraId="68CBA28E">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26</w:t>
            </w:r>
          </w:p>
        </w:tc>
        <w:tc>
          <w:tcPr>
            <w:tcW w:w="4012" w:type="dxa"/>
            <w:vAlign w:val="center"/>
          </w:tcPr>
          <w:p w14:paraId="1557D322">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供气业</w:t>
            </w:r>
          </w:p>
        </w:tc>
      </w:tr>
      <w:tr w14:paraId="03E69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19532C5C">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07</w:t>
            </w:r>
          </w:p>
        </w:tc>
        <w:tc>
          <w:tcPr>
            <w:tcW w:w="3447" w:type="dxa"/>
            <w:vAlign w:val="center"/>
          </w:tcPr>
          <w:p w14:paraId="4C310777">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纸浆、纸及纸制品</w:t>
            </w:r>
          </w:p>
        </w:tc>
        <w:tc>
          <w:tcPr>
            <w:tcW w:w="781" w:type="dxa"/>
            <w:vAlign w:val="center"/>
          </w:tcPr>
          <w:p w14:paraId="67CBFC43">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27</w:t>
            </w:r>
          </w:p>
        </w:tc>
        <w:tc>
          <w:tcPr>
            <w:tcW w:w="4012" w:type="dxa"/>
            <w:vAlign w:val="center"/>
          </w:tcPr>
          <w:p w14:paraId="73536AA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供水业</w:t>
            </w:r>
          </w:p>
        </w:tc>
      </w:tr>
      <w:tr w14:paraId="615D9E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52654DB9">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08</w:t>
            </w:r>
          </w:p>
        </w:tc>
        <w:tc>
          <w:tcPr>
            <w:tcW w:w="3447" w:type="dxa"/>
            <w:vAlign w:val="center"/>
          </w:tcPr>
          <w:p w14:paraId="3290CCF5">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rPr>
              <w:t>出版业</w:t>
            </w:r>
          </w:p>
        </w:tc>
        <w:tc>
          <w:tcPr>
            <w:tcW w:w="781" w:type="dxa"/>
            <w:vAlign w:val="center"/>
          </w:tcPr>
          <w:p w14:paraId="0250247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28</w:t>
            </w:r>
          </w:p>
        </w:tc>
        <w:tc>
          <w:tcPr>
            <w:tcW w:w="4012" w:type="dxa"/>
            <w:vAlign w:val="center"/>
          </w:tcPr>
          <w:p w14:paraId="5A2BC73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建设业</w:t>
            </w:r>
          </w:p>
        </w:tc>
      </w:tr>
      <w:tr w14:paraId="53151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5E44075B">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09</w:t>
            </w:r>
          </w:p>
        </w:tc>
        <w:tc>
          <w:tcPr>
            <w:tcW w:w="3447" w:type="dxa"/>
            <w:vAlign w:val="center"/>
          </w:tcPr>
          <w:p w14:paraId="29D90B03">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印刷业</w:t>
            </w:r>
          </w:p>
        </w:tc>
        <w:tc>
          <w:tcPr>
            <w:tcW w:w="781" w:type="dxa"/>
            <w:vAlign w:val="center"/>
          </w:tcPr>
          <w:p w14:paraId="1F490D2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29</w:t>
            </w:r>
          </w:p>
        </w:tc>
        <w:tc>
          <w:tcPr>
            <w:tcW w:w="4012" w:type="dxa"/>
            <w:vAlign w:val="center"/>
          </w:tcPr>
          <w:p w14:paraId="6DA76F87">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批发和零售业；汽车、摩托、</w:t>
            </w:r>
            <w:r>
              <w:rPr>
                <w:rFonts w:hint="eastAsia" w:ascii="宋体" w:hAnsi="宋体" w:eastAsia="宋体" w:cs="宋体"/>
                <w:color w:val="auto"/>
                <w:spacing w:val="-2"/>
                <w:sz w:val="24"/>
                <w:szCs w:val="24"/>
                <w:highlight w:val="none"/>
              </w:rPr>
              <w:t>个人及家庭用品修理业</w:t>
            </w:r>
          </w:p>
        </w:tc>
      </w:tr>
      <w:tr w14:paraId="339866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544796B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10</w:t>
            </w:r>
          </w:p>
        </w:tc>
        <w:tc>
          <w:tcPr>
            <w:tcW w:w="3447" w:type="dxa"/>
            <w:vAlign w:val="center"/>
          </w:tcPr>
          <w:p w14:paraId="6A1C8BF9">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焦炭及精炼石油制品</w:t>
            </w:r>
            <w:r>
              <w:rPr>
                <w:rFonts w:hint="eastAsia" w:ascii="宋体" w:hAnsi="宋体" w:eastAsia="宋体" w:cs="宋体"/>
                <w:color w:val="auto"/>
                <w:spacing w:val="-12"/>
                <w:sz w:val="24"/>
                <w:szCs w:val="24"/>
                <w:highlight w:val="none"/>
              </w:rPr>
              <w:t>的制造</w:t>
            </w:r>
          </w:p>
        </w:tc>
        <w:tc>
          <w:tcPr>
            <w:tcW w:w="781" w:type="dxa"/>
            <w:vAlign w:val="center"/>
          </w:tcPr>
          <w:p w14:paraId="6C5FE8B8">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rPr>
              <w:t>30</w:t>
            </w:r>
          </w:p>
        </w:tc>
        <w:tc>
          <w:tcPr>
            <w:tcW w:w="4012" w:type="dxa"/>
            <w:vAlign w:val="center"/>
          </w:tcPr>
          <w:p w14:paraId="5ABAA3D0">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宾馆及餐馆</w:t>
            </w:r>
          </w:p>
        </w:tc>
      </w:tr>
      <w:tr w14:paraId="630BE4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5" w:hRule="atLeast"/>
          <w:jc w:val="center"/>
        </w:trPr>
        <w:tc>
          <w:tcPr>
            <w:tcW w:w="938" w:type="dxa"/>
            <w:vAlign w:val="center"/>
          </w:tcPr>
          <w:p w14:paraId="13820435">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11</w:t>
            </w:r>
          </w:p>
        </w:tc>
        <w:tc>
          <w:tcPr>
            <w:tcW w:w="3447" w:type="dxa"/>
            <w:vAlign w:val="center"/>
          </w:tcPr>
          <w:p w14:paraId="7E111773">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核燃料</w:t>
            </w:r>
          </w:p>
        </w:tc>
        <w:tc>
          <w:tcPr>
            <w:tcW w:w="781" w:type="dxa"/>
            <w:vAlign w:val="center"/>
          </w:tcPr>
          <w:p w14:paraId="33AEE74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rPr>
              <w:t>31</w:t>
            </w:r>
          </w:p>
        </w:tc>
        <w:tc>
          <w:tcPr>
            <w:tcW w:w="4012" w:type="dxa"/>
            <w:vAlign w:val="center"/>
          </w:tcPr>
          <w:p w14:paraId="697943A9">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运输、仓储和通信业</w:t>
            </w:r>
          </w:p>
        </w:tc>
      </w:tr>
      <w:tr w14:paraId="2E0EA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10148891">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12</w:t>
            </w:r>
          </w:p>
        </w:tc>
        <w:tc>
          <w:tcPr>
            <w:tcW w:w="3447" w:type="dxa"/>
            <w:vAlign w:val="center"/>
          </w:tcPr>
          <w:p w14:paraId="2F8A7A2C">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化学品、化学制品及纤维</w:t>
            </w:r>
          </w:p>
        </w:tc>
        <w:tc>
          <w:tcPr>
            <w:tcW w:w="781" w:type="dxa"/>
            <w:vAlign w:val="center"/>
          </w:tcPr>
          <w:p w14:paraId="18482052">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6"/>
                <w:sz w:val="24"/>
                <w:szCs w:val="24"/>
                <w:highlight w:val="none"/>
              </w:rPr>
              <w:t>32</w:t>
            </w:r>
          </w:p>
        </w:tc>
        <w:tc>
          <w:tcPr>
            <w:tcW w:w="4012" w:type="dxa"/>
            <w:vAlign w:val="center"/>
          </w:tcPr>
          <w:p w14:paraId="7DD83B3D">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金融中介、房地产和租赁</w:t>
            </w:r>
          </w:p>
        </w:tc>
      </w:tr>
      <w:tr w14:paraId="6C6E1A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50B06172">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13</w:t>
            </w:r>
          </w:p>
        </w:tc>
        <w:tc>
          <w:tcPr>
            <w:tcW w:w="3447" w:type="dxa"/>
            <w:vAlign w:val="center"/>
          </w:tcPr>
          <w:p w14:paraId="397D1AFA">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13"/>
                <w:sz w:val="24"/>
                <w:szCs w:val="24"/>
                <w:highlight w:val="none"/>
              </w:rPr>
              <w:t>药品</w:t>
            </w:r>
          </w:p>
        </w:tc>
        <w:tc>
          <w:tcPr>
            <w:tcW w:w="781" w:type="dxa"/>
            <w:vAlign w:val="center"/>
          </w:tcPr>
          <w:p w14:paraId="146366DF">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33</w:t>
            </w:r>
          </w:p>
        </w:tc>
        <w:tc>
          <w:tcPr>
            <w:tcW w:w="4012" w:type="dxa"/>
            <w:vAlign w:val="center"/>
          </w:tcPr>
          <w:p w14:paraId="350C3126">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1"/>
                <w:sz w:val="24"/>
                <w:szCs w:val="24"/>
                <w:highlight w:val="none"/>
              </w:rPr>
              <w:t>信息技术</w:t>
            </w:r>
          </w:p>
        </w:tc>
      </w:tr>
      <w:tr w14:paraId="2C9770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67694080">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14</w:t>
            </w:r>
          </w:p>
        </w:tc>
        <w:tc>
          <w:tcPr>
            <w:tcW w:w="3447" w:type="dxa"/>
            <w:vAlign w:val="center"/>
          </w:tcPr>
          <w:p w14:paraId="2355BF89">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橡胶和塑料制品</w:t>
            </w:r>
          </w:p>
        </w:tc>
        <w:tc>
          <w:tcPr>
            <w:tcW w:w="781" w:type="dxa"/>
            <w:vAlign w:val="center"/>
          </w:tcPr>
          <w:p w14:paraId="6420F137">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34</w:t>
            </w:r>
          </w:p>
        </w:tc>
        <w:tc>
          <w:tcPr>
            <w:tcW w:w="4012" w:type="dxa"/>
            <w:vAlign w:val="center"/>
          </w:tcPr>
          <w:p w14:paraId="1FCDA3DD">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5"/>
                <w:sz w:val="24"/>
                <w:szCs w:val="24"/>
                <w:highlight w:val="none"/>
              </w:rPr>
              <w:t>工程服务</w:t>
            </w:r>
          </w:p>
        </w:tc>
      </w:tr>
      <w:tr w14:paraId="3A93CF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71A7A3E7">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15</w:t>
            </w:r>
          </w:p>
        </w:tc>
        <w:tc>
          <w:tcPr>
            <w:tcW w:w="3447" w:type="dxa"/>
            <w:vAlign w:val="center"/>
          </w:tcPr>
          <w:p w14:paraId="396C4028">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4"/>
                <w:sz w:val="24"/>
                <w:szCs w:val="24"/>
                <w:highlight w:val="none"/>
              </w:rPr>
              <w:t>非金属矿物制品</w:t>
            </w:r>
          </w:p>
        </w:tc>
        <w:tc>
          <w:tcPr>
            <w:tcW w:w="781" w:type="dxa"/>
            <w:vAlign w:val="center"/>
          </w:tcPr>
          <w:p w14:paraId="46FAFF0E">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35</w:t>
            </w:r>
          </w:p>
        </w:tc>
        <w:tc>
          <w:tcPr>
            <w:tcW w:w="4012" w:type="dxa"/>
            <w:vAlign w:val="center"/>
          </w:tcPr>
          <w:p w14:paraId="21A767E5">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3"/>
                <w:sz w:val="24"/>
                <w:szCs w:val="24"/>
                <w:highlight w:val="none"/>
              </w:rPr>
              <w:t>其他服务</w:t>
            </w:r>
          </w:p>
        </w:tc>
      </w:tr>
      <w:tr w14:paraId="56BED1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1EF36B0B">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16</w:t>
            </w:r>
          </w:p>
        </w:tc>
        <w:tc>
          <w:tcPr>
            <w:tcW w:w="3447" w:type="dxa"/>
            <w:vAlign w:val="center"/>
          </w:tcPr>
          <w:p w14:paraId="785D54FC">
            <w:pPr>
              <w:pStyle w:val="17"/>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3"/>
                <w:sz w:val="24"/>
                <w:szCs w:val="24"/>
                <w:highlight w:val="none"/>
              </w:rPr>
              <w:t>混凝土、水泥、石灰、石膏</w:t>
            </w:r>
          </w:p>
          <w:p w14:paraId="4518C7EF">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及其他</w:t>
            </w:r>
          </w:p>
        </w:tc>
        <w:tc>
          <w:tcPr>
            <w:tcW w:w="781" w:type="dxa"/>
            <w:vAlign w:val="center"/>
          </w:tcPr>
          <w:p w14:paraId="49F2BC52">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36</w:t>
            </w:r>
          </w:p>
        </w:tc>
        <w:tc>
          <w:tcPr>
            <w:tcW w:w="4012" w:type="dxa"/>
            <w:vAlign w:val="center"/>
          </w:tcPr>
          <w:p w14:paraId="33847729">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公共行政管理</w:t>
            </w:r>
          </w:p>
        </w:tc>
      </w:tr>
      <w:tr w14:paraId="4E5E6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3854E846">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17</w:t>
            </w:r>
          </w:p>
        </w:tc>
        <w:tc>
          <w:tcPr>
            <w:tcW w:w="3447" w:type="dxa"/>
            <w:vAlign w:val="center"/>
          </w:tcPr>
          <w:p w14:paraId="1B9804B5">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1"/>
                <w:sz w:val="24"/>
                <w:szCs w:val="24"/>
                <w:highlight w:val="none"/>
              </w:rPr>
              <w:t>基础金属及金属制品</w:t>
            </w:r>
          </w:p>
        </w:tc>
        <w:tc>
          <w:tcPr>
            <w:tcW w:w="781" w:type="dxa"/>
            <w:vAlign w:val="center"/>
          </w:tcPr>
          <w:p w14:paraId="72AECA69">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37</w:t>
            </w:r>
          </w:p>
        </w:tc>
        <w:tc>
          <w:tcPr>
            <w:tcW w:w="4012" w:type="dxa"/>
            <w:vAlign w:val="center"/>
          </w:tcPr>
          <w:p w14:paraId="793B04BC">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5"/>
                <w:sz w:val="24"/>
                <w:szCs w:val="24"/>
                <w:highlight w:val="none"/>
              </w:rPr>
              <w:t>教育</w:t>
            </w:r>
          </w:p>
        </w:tc>
      </w:tr>
      <w:tr w14:paraId="74CB03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4E8F4B59">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18</w:t>
            </w:r>
          </w:p>
        </w:tc>
        <w:tc>
          <w:tcPr>
            <w:tcW w:w="3447" w:type="dxa"/>
            <w:vAlign w:val="center"/>
          </w:tcPr>
          <w:p w14:paraId="4A17302A">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机械及设备</w:t>
            </w:r>
          </w:p>
        </w:tc>
        <w:tc>
          <w:tcPr>
            <w:tcW w:w="781" w:type="dxa"/>
            <w:vAlign w:val="center"/>
          </w:tcPr>
          <w:p w14:paraId="51C37FB9">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38</w:t>
            </w:r>
          </w:p>
        </w:tc>
        <w:tc>
          <w:tcPr>
            <w:tcW w:w="4012" w:type="dxa"/>
            <w:vAlign w:val="center"/>
          </w:tcPr>
          <w:p w14:paraId="4F025334">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1"/>
                <w:sz w:val="24"/>
                <w:szCs w:val="24"/>
                <w:highlight w:val="none"/>
              </w:rPr>
              <w:t>健康和社会工作</w:t>
            </w:r>
          </w:p>
        </w:tc>
      </w:tr>
      <w:tr w14:paraId="342F32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2DFF1455">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4"/>
                <w:sz w:val="24"/>
                <w:szCs w:val="24"/>
                <w:highlight w:val="none"/>
              </w:rPr>
              <w:t>19</w:t>
            </w:r>
          </w:p>
        </w:tc>
        <w:tc>
          <w:tcPr>
            <w:tcW w:w="3447" w:type="dxa"/>
            <w:vAlign w:val="center"/>
          </w:tcPr>
          <w:p w14:paraId="6438B831">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8"/>
                <w:sz w:val="24"/>
                <w:szCs w:val="24"/>
                <w:highlight w:val="none"/>
              </w:rPr>
              <w:t>电和光学设备</w:t>
            </w:r>
          </w:p>
        </w:tc>
        <w:tc>
          <w:tcPr>
            <w:tcW w:w="781" w:type="dxa"/>
            <w:vAlign w:val="center"/>
          </w:tcPr>
          <w:p w14:paraId="57FFA771">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6"/>
                <w:sz w:val="24"/>
                <w:szCs w:val="24"/>
                <w:highlight w:val="none"/>
              </w:rPr>
            </w:pPr>
            <w:r>
              <w:rPr>
                <w:rFonts w:hint="eastAsia" w:ascii="宋体" w:hAnsi="宋体" w:eastAsia="宋体" w:cs="宋体"/>
                <w:color w:val="auto"/>
                <w:spacing w:val="-16"/>
                <w:sz w:val="24"/>
                <w:szCs w:val="24"/>
                <w:highlight w:val="none"/>
              </w:rPr>
              <w:t>39</w:t>
            </w:r>
          </w:p>
        </w:tc>
        <w:tc>
          <w:tcPr>
            <w:tcW w:w="4012" w:type="dxa"/>
            <w:vAlign w:val="center"/>
          </w:tcPr>
          <w:p w14:paraId="2210276F">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
                <w:sz w:val="24"/>
                <w:szCs w:val="24"/>
                <w:highlight w:val="none"/>
              </w:rPr>
            </w:pPr>
            <w:r>
              <w:rPr>
                <w:rFonts w:hint="eastAsia" w:ascii="宋体" w:hAnsi="宋体" w:eastAsia="宋体" w:cs="宋体"/>
                <w:color w:val="auto"/>
                <w:spacing w:val="-2"/>
                <w:sz w:val="24"/>
                <w:szCs w:val="24"/>
                <w:highlight w:val="none"/>
              </w:rPr>
              <w:t>其他社会服务</w:t>
            </w:r>
          </w:p>
        </w:tc>
      </w:tr>
      <w:tr w14:paraId="08143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7" w:hRule="atLeast"/>
          <w:jc w:val="center"/>
        </w:trPr>
        <w:tc>
          <w:tcPr>
            <w:tcW w:w="938" w:type="dxa"/>
            <w:vAlign w:val="center"/>
          </w:tcPr>
          <w:p w14:paraId="7408F725">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14"/>
                <w:sz w:val="24"/>
                <w:szCs w:val="24"/>
                <w:highlight w:val="none"/>
              </w:rPr>
            </w:pPr>
            <w:r>
              <w:rPr>
                <w:rFonts w:hint="eastAsia" w:ascii="宋体" w:hAnsi="宋体" w:eastAsia="宋体" w:cs="宋体"/>
                <w:color w:val="auto"/>
                <w:spacing w:val="-10"/>
                <w:sz w:val="24"/>
                <w:szCs w:val="24"/>
                <w:highlight w:val="none"/>
              </w:rPr>
              <w:t>20</w:t>
            </w:r>
          </w:p>
        </w:tc>
        <w:tc>
          <w:tcPr>
            <w:tcW w:w="3447" w:type="dxa"/>
            <w:vAlign w:val="center"/>
          </w:tcPr>
          <w:p w14:paraId="3D6DA39E">
            <w:pPr>
              <w:pStyle w:val="17"/>
              <w:keepNext w:val="0"/>
              <w:keepLines w:val="0"/>
              <w:pageBreakBefore w:val="0"/>
              <w:widowControl w:val="0"/>
              <w:kinsoku/>
              <w:wordWrap/>
              <w:overflowPunct/>
              <w:topLinePunct w:val="0"/>
              <w:autoSpaceDE/>
              <w:autoSpaceDN/>
              <w:bidi w:val="0"/>
              <w:adjustRightInd/>
              <w:snapToGrid/>
              <w:spacing w:line="240" w:lineRule="auto"/>
              <w:ind w:left="0" w:leftChars="0" w:right="0" w:firstLine="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5"/>
                <w:sz w:val="24"/>
                <w:szCs w:val="24"/>
                <w:highlight w:val="none"/>
              </w:rPr>
              <w:t>造船业</w:t>
            </w:r>
          </w:p>
        </w:tc>
        <w:tc>
          <w:tcPr>
            <w:tcW w:w="781" w:type="dxa"/>
            <w:vAlign w:val="center"/>
          </w:tcPr>
          <w:p w14:paraId="20B2F19F">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pacing w:val="-16"/>
                <w:sz w:val="24"/>
                <w:szCs w:val="24"/>
                <w:highlight w:val="none"/>
              </w:rPr>
            </w:pPr>
          </w:p>
        </w:tc>
        <w:tc>
          <w:tcPr>
            <w:tcW w:w="4012" w:type="dxa"/>
            <w:vAlign w:val="center"/>
          </w:tcPr>
          <w:p w14:paraId="39A50880">
            <w:pPr>
              <w:keepNext w:val="0"/>
              <w:keepLines w:val="0"/>
              <w:pageBreakBefore w:val="0"/>
              <w:widowControl w:val="0"/>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pacing w:val="-1"/>
                <w:sz w:val="24"/>
                <w:szCs w:val="24"/>
                <w:highlight w:val="none"/>
              </w:rPr>
            </w:pPr>
          </w:p>
        </w:tc>
      </w:tr>
    </w:tbl>
    <w:p w14:paraId="41A49B78">
      <w:pPr>
        <w:rPr>
          <w:color w:val="auto"/>
          <w:highlight w:val="none"/>
        </w:rPr>
        <w:sectPr>
          <w:footerReference r:id="rId10" w:type="default"/>
          <w:pgSz w:w="11906" w:h="16839"/>
          <w:pgMar w:top="1134" w:right="1134" w:bottom="1134" w:left="1134" w:header="720" w:footer="720" w:gutter="0"/>
          <w:pgNumType w:fmt="numberInDash" w:start="1"/>
          <w:cols w:space="720" w:num="1"/>
        </w:sectPr>
      </w:pPr>
    </w:p>
    <w:p w14:paraId="7F490C29">
      <w:pPr>
        <w:spacing w:before="0" w:line="324" w:lineRule="auto"/>
        <w:ind w:left="0"/>
        <w:jc w:val="center"/>
        <w:outlineLvl w:val="9"/>
        <w:rPr>
          <w:rFonts w:hint="default" w:ascii="宋体" w:hAnsi="宋体" w:eastAsia="宋体" w:cs="宋体"/>
          <w:color w:val="auto"/>
          <w:sz w:val="24"/>
          <w:szCs w:val="24"/>
          <w:highlight w:val="none"/>
          <w:lang w:val="en-US" w:eastAsia="zh-CN"/>
        </w:rPr>
      </w:pPr>
      <w:r>
        <w:rPr>
          <w:rFonts w:hint="default" w:ascii="宋体" w:hAnsi="宋体" w:eastAsia="宋体" w:cs="宋体"/>
          <w:b w:val="0"/>
          <w:bCs w:val="0"/>
          <w:color w:val="auto"/>
          <w:spacing w:val="0"/>
          <w:sz w:val="24"/>
          <w:szCs w:val="24"/>
          <w:highlight w:val="none"/>
          <w:lang w:val="en-US" w:eastAsia="zh-CN"/>
        </w:rPr>
        <w:t>表2管理体系风险类型示例</w:t>
      </w:r>
    </w:p>
    <w:p w14:paraId="023BDD6C">
      <w:pPr>
        <w:spacing w:line="173" w:lineRule="exact"/>
        <w:rPr>
          <w:color w:val="auto"/>
          <w:highlight w:val="none"/>
        </w:rPr>
      </w:pPr>
    </w:p>
    <w:tbl>
      <w:tblPr>
        <w:tblStyle w:val="18"/>
        <w:tblW w:w="91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36"/>
        <w:gridCol w:w="7840"/>
      </w:tblGrid>
      <w:tr w14:paraId="16524F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448" w:hRule="atLeast"/>
        </w:trPr>
        <w:tc>
          <w:tcPr>
            <w:tcW w:w="1336" w:type="dxa"/>
            <w:vAlign w:val="center"/>
          </w:tcPr>
          <w:p w14:paraId="1B55CC4D">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8"/>
                <w:sz w:val="24"/>
                <w:szCs w:val="24"/>
                <w:highlight w:val="none"/>
              </w:rPr>
              <w:t>高风险</w:t>
            </w:r>
          </w:p>
        </w:tc>
        <w:tc>
          <w:tcPr>
            <w:tcW w:w="7840" w:type="dxa"/>
            <w:vAlign w:val="center"/>
          </w:tcPr>
          <w:p w14:paraId="419E2A4E">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产品或服务失效将引起巨大经济损失或引起生命危险。包</w:t>
            </w:r>
            <w:r>
              <w:rPr>
                <w:rFonts w:hint="eastAsia" w:ascii="宋体" w:hAnsi="宋体" w:eastAsia="宋体" w:cs="宋体"/>
                <w:color w:val="auto"/>
                <w:spacing w:val="1"/>
                <w:sz w:val="24"/>
                <w:szCs w:val="24"/>
                <w:highlight w:val="none"/>
              </w:rPr>
              <w:t>括但</w:t>
            </w:r>
            <w:r>
              <w:rPr>
                <w:rFonts w:hint="eastAsia" w:ascii="宋体" w:hAnsi="宋体" w:eastAsia="宋体" w:cs="宋体"/>
                <w:color w:val="auto"/>
                <w:spacing w:val="2"/>
                <w:sz w:val="24"/>
                <w:szCs w:val="24"/>
                <w:highlight w:val="none"/>
              </w:rPr>
              <w:t>不限于：食品，药品，飞机，造船，承重部件和结构，</w:t>
            </w:r>
            <w:r>
              <w:rPr>
                <w:rFonts w:hint="eastAsia" w:ascii="宋体" w:hAnsi="宋体" w:eastAsia="宋体" w:cs="宋体"/>
                <w:color w:val="auto"/>
                <w:spacing w:val="1"/>
                <w:sz w:val="24"/>
                <w:szCs w:val="24"/>
                <w:highlight w:val="none"/>
              </w:rPr>
              <w:t>复杂的</w:t>
            </w:r>
            <w:r>
              <w:rPr>
                <w:rFonts w:hint="eastAsia" w:ascii="宋体" w:hAnsi="宋体" w:eastAsia="宋体" w:cs="宋体"/>
                <w:color w:val="auto"/>
                <w:spacing w:val="2"/>
                <w:sz w:val="24"/>
                <w:szCs w:val="24"/>
                <w:highlight w:val="none"/>
              </w:rPr>
              <w:t>施工活动，电力和燃气设备，医疗卫生服务，捕鱼，核</w:t>
            </w:r>
            <w:r>
              <w:rPr>
                <w:rFonts w:hint="eastAsia" w:ascii="宋体" w:hAnsi="宋体" w:eastAsia="宋体" w:cs="宋体"/>
                <w:color w:val="auto"/>
                <w:spacing w:val="1"/>
                <w:sz w:val="24"/>
                <w:szCs w:val="24"/>
                <w:highlight w:val="none"/>
              </w:rPr>
              <w:t>燃料，</w:t>
            </w:r>
            <w:r>
              <w:rPr>
                <w:rFonts w:hint="eastAsia" w:ascii="宋体" w:hAnsi="宋体" w:eastAsia="宋体" w:cs="宋体"/>
                <w:color w:val="auto"/>
                <w:spacing w:val="-1"/>
                <w:sz w:val="24"/>
                <w:szCs w:val="24"/>
                <w:highlight w:val="none"/>
              </w:rPr>
              <w:t>化学品，化学制品及纤维。</w:t>
            </w:r>
          </w:p>
        </w:tc>
      </w:tr>
      <w:tr w14:paraId="4B572D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3" w:hRule="atLeast"/>
        </w:trPr>
        <w:tc>
          <w:tcPr>
            <w:tcW w:w="1336" w:type="dxa"/>
            <w:vAlign w:val="center"/>
          </w:tcPr>
          <w:p w14:paraId="593B338F">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5"/>
                <w:sz w:val="24"/>
                <w:szCs w:val="24"/>
                <w:highlight w:val="none"/>
              </w:rPr>
              <w:t>中风险</w:t>
            </w:r>
          </w:p>
        </w:tc>
        <w:tc>
          <w:tcPr>
            <w:tcW w:w="7840" w:type="dxa"/>
            <w:vAlign w:val="center"/>
          </w:tcPr>
          <w:p w14:paraId="39FAD110">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产品或服务失效可能引起伤害或疾病。包括但不限于：非</w:t>
            </w:r>
            <w:r>
              <w:rPr>
                <w:rFonts w:hint="eastAsia" w:ascii="宋体" w:hAnsi="宋体" w:eastAsia="宋体" w:cs="宋体"/>
                <w:color w:val="auto"/>
                <w:spacing w:val="1"/>
                <w:sz w:val="24"/>
                <w:szCs w:val="24"/>
                <w:highlight w:val="none"/>
              </w:rPr>
              <w:t>承重</w:t>
            </w:r>
            <w:r>
              <w:rPr>
                <w:rFonts w:hint="eastAsia" w:ascii="宋体" w:hAnsi="宋体" w:eastAsia="宋体" w:cs="宋体"/>
                <w:color w:val="auto"/>
                <w:spacing w:val="-6"/>
                <w:sz w:val="24"/>
                <w:szCs w:val="24"/>
                <w:highlight w:val="none"/>
              </w:rPr>
              <w:t>部件和结构，简单的施工活动，基础金属及制品，非金属制品，</w:t>
            </w:r>
            <w:r>
              <w:rPr>
                <w:rFonts w:hint="eastAsia" w:ascii="宋体" w:hAnsi="宋体" w:eastAsia="宋体" w:cs="宋体"/>
                <w:color w:val="auto"/>
                <w:spacing w:val="-1"/>
                <w:sz w:val="24"/>
                <w:szCs w:val="24"/>
                <w:highlight w:val="none"/>
              </w:rPr>
              <w:t>家具，光学仪器，休闲和个人服务。</w:t>
            </w:r>
          </w:p>
        </w:tc>
      </w:tr>
      <w:tr w14:paraId="204C9D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8" w:hRule="atLeast"/>
        </w:trPr>
        <w:tc>
          <w:tcPr>
            <w:tcW w:w="1336" w:type="dxa"/>
            <w:vAlign w:val="center"/>
          </w:tcPr>
          <w:p w14:paraId="4AC51E22">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低风险</w:t>
            </w:r>
          </w:p>
        </w:tc>
        <w:tc>
          <w:tcPr>
            <w:tcW w:w="7840" w:type="dxa"/>
            <w:vAlign w:val="center"/>
          </w:tcPr>
          <w:p w14:paraId="1112B4F4">
            <w:pPr>
              <w:pStyle w:val="17"/>
              <w:keepNext w:val="0"/>
              <w:keepLines w:val="0"/>
              <w:pageBreakBefore w:val="0"/>
              <w:widowControl/>
              <w:kinsoku/>
              <w:wordWrap/>
              <w:overflowPunct/>
              <w:topLinePunct w:val="0"/>
              <w:autoSpaceDE/>
              <w:autoSpaceDN/>
              <w:bidi w:val="0"/>
              <w:adjustRightInd/>
              <w:snapToGrid/>
              <w:spacing w:line="240" w:lineRule="auto"/>
              <w:ind w:left="0" w:right="0" w:firstLine="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产品或服务失效不太可能引起伤害或疾病。包括但不限于</w:t>
            </w:r>
            <w:r>
              <w:rPr>
                <w:rFonts w:hint="eastAsia" w:ascii="宋体" w:hAnsi="宋体" w:eastAsia="宋体" w:cs="宋体"/>
                <w:color w:val="auto"/>
                <w:spacing w:val="1"/>
                <w:sz w:val="24"/>
                <w:szCs w:val="24"/>
                <w:highlight w:val="none"/>
              </w:rPr>
              <w:t>：纺</w:t>
            </w:r>
            <w:r>
              <w:rPr>
                <w:rFonts w:hint="eastAsia" w:ascii="宋体" w:hAnsi="宋体" w:eastAsia="宋体" w:cs="宋体"/>
                <w:color w:val="auto"/>
                <w:spacing w:val="2"/>
                <w:sz w:val="24"/>
                <w:szCs w:val="24"/>
                <w:highlight w:val="none"/>
              </w:rPr>
              <w:t>织品和服装，纸浆、纸及纸制品，出版，办公服务，</w:t>
            </w:r>
            <w:r>
              <w:rPr>
                <w:rFonts w:hint="eastAsia" w:ascii="宋体" w:hAnsi="宋体" w:eastAsia="宋体" w:cs="宋体"/>
                <w:color w:val="auto"/>
                <w:spacing w:val="1"/>
                <w:sz w:val="24"/>
                <w:szCs w:val="24"/>
                <w:highlight w:val="none"/>
              </w:rPr>
              <w:t>教育，零</w:t>
            </w:r>
            <w:r>
              <w:rPr>
                <w:rFonts w:hint="eastAsia" w:ascii="宋体" w:hAnsi="宋体" w:eastAsia="宋体" w:cs="宋体"/>
                <w:color w:val="auto"/>
                <w:spacing w:val="-2"/>
                <w:sz w:val="24"/>
                <w:szCs w:val="24"/>
                <w:highlight w:val="none"/>
              </w:rPr>
              <w:t>售，酒店和餐馆。</w:t>
            </w:r>
          </w:p>
        </w:tc>
      </w:tr>
    </w:tbl>
    <w:p w14:paraId="4F5727DD">
      <w:pPr>
        <w:spacing w:before="0" w:line="324" w:lineRule="auto"/>
        <w:ind w:left="0"/>
        <w:jc w:val="left"/>
        <w:outlineLvl w:val="9"/>
        <w:rPr>
          <w:rFonts w:hint="default" w:ascii="宋体" w:hAnsi="宋体" w:eastAsia="宋体" w:cs="宋体"/>
          <w:color w:val="auto"/>
          <w:sz w:val="24"/>
          <w:szCs w:val="24"/>
          <w:highlight w:val="none"/>
          <w:lang w:val="en-US" w:eastAsia="zh-CN"/>
        </w:rPr>
      </w:pPr>
      <w:r>
        <w:rPr>
          <w:rFonts w:hint="default" w:ascii="宋体" w:hAnsi="宋体" w:eastAsia="宋体" w:cs="宋体"/>
          <w:color w:val="auto"/>
          <w:spacing w:val="0"/>
          <w:sz w:val="24"/>
          <w:szCs w:val="24"/>
          <w:highlight w:val="none"/>
          <w:lang w:val="en-US" w:eastAsia="zh-CN"/>
        </w:rPr>
        <w:t>注：</w:t>
      </w:r>
    </w:p>
    <w:p w14:paraId="0EE225F6">
      <w:pPr>
        <w:spacing w:before="0" w:line="324" w:lineRule="auto"/>
        <w:ind w:left="0"/>
        <w:jc w:val="left"/>
        <w:rPr>
          <w:rFonts w:hint="default" w:ascii="宋体" w:hAnsi="宋体" w:eastAsia="宋体" w:cs="宋体"/>
          <w:color w:val="auto"/>
          <w:sz w:val="24"/>
          <w:szCs w:val="24"/>
          <w:highlight w:val="none"/>
          <w:lang w:val="en-US" w:eastAsia="zh-CN"/>
        </w:rPr>
      </w:pPr>
      <w:r>
        <w:rPr>
          <w:rFonts w:hint="default" w:ascii="宋体" w:hAnsi="宋体" w:eastAsia="宋体" w:cs="宋体"/>
          <w:color w:val="auto"/>
          <w:spacing w:val="0"/>
          <w:sz w:val="24"/>
          <w:szCs w:val="24"/>
          <w:highlight w:val="none"/>
          <w:lang w:val="en-US" w:eastAsia="zh-CN"/>
        </w:rPr>
        <w:t>1.管理体系认证业务的风险通常划分为高风险、中风险和低风险等三个级别，风险类型并非固定不变，表2作为示例，供认证机构在确定认证业务风险类型时采用。</w:t>
      </w:r>
    </w:p>
    <w:p w14:paraId="3554F06C">
      <w:pPr>
        <w:spacing w:before="0" w:line="324" w:lineRule="auto"/>
        <w:ind w:left="0" w:right="0" w:firstLine="0"/>
        <w:jc w:val="left"/>
        <w:outlineLvl w:val="9"/>
        <w:rPr>
          <w:rFonts w:hint="default" w:ascii="宋体" w:hAnsi="宋体" w:eastAsia="宋体" w:cs="宋体"/>
          <w:color w:val="auto"/>
          <w:spacing w:val="0"/>
          <w:sz w:val="24"/>
          <w:szCs w:val="24"/>
          <w:highlight w:val="none"/>
          <w:lang w:val="en-US" w:eastAsia="zh-CN"/>
        </w:rPr>
      </w:pPr>
      <w:r>
        <w:rPr>
          <w:rFonts w:hint="default" w:ascii="宋体" w:hAnsi="宋体" w:eastAsia="宋体" w:cs="宋体"/>
          <w:color w:val="auto"/>
          <w:spacing w:val="0"/>
          <w:sz w:val="24"/>
          <w:szCs w:val="24"/>
          <w:highlight w:val="none"/>
          <w:lang w:val="en-US" w:eastAsia="zh-CN"/>
        </w:rPr>
        <w:t>2.表1和表2是认证业务范围划分的基础，认证机构应在表1和表2的基础上进一步细分。</w:t>
      </w:r>
    </w:p>
    <w:p w14:paraId="7F98AE0D">
      <w:pPr>
        <w:spacing w:before="0" w:line="324" w:lineRule="auto"/>
        <w:ind w:left="0" w:right="0" w:firstLine="0"/>
        <w:jc w:val="left"/>
        <w:outlineLvl w:val="9"/>
        <w:rPr>
          <w:rFonts w:hint="default" w:ascii="宋体" w:hAnsi="宋体" w:eastAsia="宋体" w:cs="宋体"/>
          <w:color w:val="auto"/>
          <w:spacing w:val="0"/>
          <w:sz w:val="24"/>
          <w:szCs w:val="24"/>
          <w:highlight w:val="none"/>
          <w:lang w:val="en-US" w:eastAsia="zh-CN"/>
        </w:rPr>
      </w:pPr>
    </w:p>
    <w:p w14:paraId="1DDBAD88">
      <w:pPr>
        <w:spacing w:before="0" w:line="324" w:lineRule="auto"/>
        <w:ind w:left="0" w:right="0" w:firstLine="0"/>
        <w:jc w:val="left"/>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18.2</w:t>
      </w:r>
    </w:p>
    <w:p w14:paraId="1AE504F3">
      <w:pPr>
        <w:keepNext w:val="0"/>
        <w:keepLines w:val="0"/>
        <w:widowControl/>
        <w:kinsoku/>
        <w:wordWrap/>
        <w:overflowPunct/>
        <w:topLinePunct w:val="0"/>
        <w:autoSpaceDE/>
        <w:autoSpaceDN/>
        <w:bidi w:val="0"/>
        <w:adjustRightInd/>
        <w:snapToGrid/>
        <w:spacing w:beforeLines="-2147483648" w:afterLines="-2147483648" w:line="324" w:lineRule="auto"/>
        <w:jc w:val="center"/>
        <w:textAlignment w:val="auto"/>
        <w:outlineLvl w:val="9"/>
        <w:rPr>
          <w:rFonts w:hint="default" w:ascii="宋体" w:hAnsi="宋体" w:eastAsia="宋体" w:cs="宋体"/>
          <w:color w:val="auto"/>
          <w:sz w:val="24"/>
          <w:szCs w:val="24"/>
          <w:highlight w:val="none"/>
          <w:lang w:val="en-US" w:eastAsia="zh-CN"/>
        </w:rPr>
      </w:pPr>
      <w:r>
        <w:rPr>
          <w:rFonts w:hint="default" w:ascii="宋体" w:hAnsi="宋体" w:eastAsia="宋体" w:cs="宋体"/>
          <w:b w:val="0"/>
          <w:bCs w:val="0"/>
          <w:color w:val="auto"/>
          <w:spacing w:val="0"/>
          <w:sz w:val="24"/>
          <w:szCs w:val="24"/>
          <w:highlight w:val="none"/>
          <w:lang w:val="en-US" w:eastAsia="zh-CN"/>
        </w:rPr>
        <w:t>表3</w:t>
      </w:r>
      <w:r>
        <w:rPr>
          <w:rFonts w:hint="default" w:ascii="宋体" w:hAnsi="宋体" w:eastAsia="宋体" w:cs="宋体"/>
          <w:color w:val="auto"/>
          <w:sz w:val="24"/>
          <w:szCs w:val="24"/>
          <w:highlight w:val="none"/>
          <w:lang w:val="en-US" w:eastAsia="zh-CN"/>
        </w:rPr>
        <w:t>管理体系认证审核时间要求</w:t>
      </w:r>
    </w:p>
    <w:tbl>
      <w:tblPr>
        <w:tblStyle w:val="18"/>
        <w:tblW w:w="917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40"/>
        <w:gridCol w:w="2758"/>
        <w:gridCol w:w="1724"/>
        <w:gridCol w:w="2850"/>
      </w:tblGrid>
      <w:tr w14:paraId="017A580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1840" w:type="dxa"/>
            <w:vMerge w:val="restart"/>
            <w:tcBorders>
              <w:bottom w:val="nil"/>
            </w:tcBorders>
            <w:vAlign w:val="center"/>
          </w:tcPr>
          <w:p w14:paraId="4E316958">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7"/>
                <w:sz w:val="24"/>
                <w:szCs w:val="24"/>
                <w:highlight w:val="none"/>
              </w:rPr>
              <w:t>有效人数</w:t>
            </w:r>
          </w:p>
        </w:tc>
        <w:tc>
          <w:tcPr>
            <w:tcW w:w="2758" w:type="dxa"/>
            <w:vAlign w:val="center"/>
          </w:tcPr>
          <w:p w14:paraId="386E850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10"/>
                <w:sz w:val="24"/>
                <w:szCs w:val="24"/>
                <w:highlight w:val="none"/>
              </w:rPr>
              <w:t>审核时间</w:t>
            </w:r>
          </w:p>
        </w:tc>
        <w:tc>
          <w:tcPr>
            <w:tcW w:w="1724" w:type="dxa"/>
            <w:vMerge w:val="restart"/>
            <w:tcBorders>
              <w:bottom w:val="nil"/>
            </w:tcBorders>
            <w:vAlign w:val="center"/>
          </w:tcPr>
          <w:p w14:paraId="45FC8DB1">
            <w:pPr>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p>
          <w:p w14:paraId="603F5452">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7"/>
                <w:sz w:val="24"/>
                <w:szCs w:val="24"/>
                <w:highlight w:val="none"/>
              </w:rPr>
              <w:t>有效人数</w:t>
            </w:r>
          </w:p>
        </w:tc>
        <w:tc>
          <w:tcPr>
            <w:tcW w:w="2850" w:type="dxa"/>
            <w:vAlign w:val="center"/>
          </w:tcPr>
          <w:p w14:paraId="59CFEF0E">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10"/>
                <w:sz w:val="24"/>
                <w:szCs w:val="24"/>
                <w:highlight w:val="none"/>
              </w:rPr>
              <w:t>审核时间</w:t>
            </w:r>
          </w:p>
        </w:tc>
      </w:tr>
      <w:tr w14:paraId="7CC18C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4" w:hRule="atLeast"/>
        </w:trPr>
        <w:tc>
          <w:tcPr>
            <w:tcW w:w="1840" w:type="dxa"/>
            <w:vMerge w:val="continue"/>
            <w:tcBorders>
              <w:top w:val="nil"/>
            </w:tcBorders>
            <w:vAlign w:val="center"/>
          </w:tcPr>
          <w:p w14:paraId="27CE8BAC">
            <w:pPr>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p>
        </w:tc>
        <w:tc>
          <w:tcPr>
            <w:tcW w:w="2758" w:type="dxa"/>
            <w:vAlign w:val="center"/>
          </w:tcPr>
          <w:p w14:paraId="2E503A76">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20"/>
                <w:sz w:val="24"/>
                <w:szCs w:val="24"/>
                <w:highlight w:val="none"/>
              </w:rPr>
              <w:t>第1阶段＋第2阶段</w:t>
            </w:r>
            <w:r>
              <w:rPr>
                <w:rFonts w:hint="eastAsia" w:ascii="宋体" w:hAnsi="宋体" w:eastAsia="宋体" w:cs="宋体"/>
                <w:b/>
                <w:bCs/>
                <w:color w:val="auto"/>
                <w:spacing w:val="6"/>
                <w:sz w:val="24"/>
                <w:szCs w:val="24"/>
                <w:highlight w:val="none"/>
              </w:rPr>
              <w:t>（人日）</w:t>
            </w:r>
          </w:p>
        </w:tc>
        <w:tc>
          <w:tcPr>
            <w:tcW w:w="1724" w:type="dxa"/>
            <w:vMerge w:val="continue"/>
            <w:tcBorders>
              <w:top w:val="nil"/>
            </w:tcBorders>
            <w:vAlign w:val="center"/>
          </w:tcPr>
          <w:p w14:paraId="5196B5BC">
            <w:pPr>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p>
        </w:tc>
        <w:tc>
          <w:tcPr>
            <w:tcW w:w="2850" w:type="dxa"/>
            <w:vAlign w:val="center"/>
          </w:tcPr>
          <w:p w14:paraId="0521A27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b/>
                <w:bCs/>
                <w:color w:val="auto"/>
                <w:spacing w:val="-20"/>
                <w:sz w:val="24"/>
                <w:szCs w:val="24"/>
                <w:highlight w:val="none"/>
              </w:rPr>
              <w:t>第1阶段＋第2阶段</w:t>
            </w:r>
            <w:r>
              <w:rPr>
                <w:rFonts w:hint="eastAsia" w:ascii="宋体" w:hAnsi="宋体" w:eastAsia="宋体" w:cs="宋体"/>
                <w:b/>
                <w:bCs/>
                <w:color w:val="auto"/>
                <w:spacing w:val="6"/>
                <w:sz w:val="24"/>
                <w:szCs w:val="24"/>
                <w:highlight w:val="none"/>
              </w:rPr>
              <w:t>（人日）</w:t>
            </w:r>
          </w:p>
        </w:tc>
      </w:tr>
      <w:tr w14:paraId="68D689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trPr>
        <w:tc>
          <w:tcPr>
            <w:tcW w:w="1840" w:type="dxa"/>
            <w:vAlign w:val="center"/>
          </w:tcPr>
          <w:p w14:paraId="567F99DB">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3"/>
                <w:sz w:val="24"/>
                <w:szCs w:val="24"/>
                <w:highlight w:val="none"/>
              </w:rPr>
              <w:t>≤15</w:t>
            </w:r>
          </w:p>
        </w:tc>
        <w:tc>
          <w:tcPr>
            <w:tcW w:w="2758" w:type="dxa"/>
            <w:vAlign w:val="center"/>
          </w:tcPr>
          <w:p w14:paraId="316BBE2F">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2.5</w:t>
            </w:r>
          </w:p>
        </w:tc>
        <w:tc>
          <w:tcPr>
            <w:tcW w:w="1724" w:type="dxa"/>
            <w:vAlign w:val="center"/>
          </w:tcPr>
          <w:p w14:paraId="5CECDA71">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876-1175</w:t>
            </w:r>
          </w:p>
        </w:tc>
        <w:tc>
          <w:tcPr>
            <w:tcW w:w="2850" w:type="dxa"/>
            <w:vAlign w:val="center"/>
          </w:tcPr>
          <w:p w14:paraId="2C85576C">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13</w:t>
            </w:r>
          </w:p>
        </w:tc>
      </w:tr>
      <w:tr w14:paraId="676CB5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trPr>
        <w:tc>
          <w:tcPr>
            <w:tcW w:w="1840" w:type="dxa"/>
            <w:vAlign w:val="center"/>
          </w:tcPr>
          <w:p w14:paraId="3FC2F100">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16-25</w:t>
            </w:r>
          </w:p>
        </w:tc>
        <w:tc>
          <w:tcPr>
            <w:tcW w:w="2758" w:type="dxa"/>
            <w:vAlign w:val="center"/>
          </w:tcPr>
          <w:p w14:paraId="294A64F8">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724" w:type="dxa"/>
            <w:vAlign w:val="center"/>
          </w:tcPr>
          <w:p w14:paraId="12703E88">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1176-1550</w:t>
            </w:r>
          </w:p>
        </w:tc>
        <w:tc>
          <w:tcPr>
            <w:tcW w:w="2850" w:type="dxa"/>
            <w:vAlign w:val="center"/>
          </w:tcPr>
          <w:p w14:paraId="52A8F9E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14</w:t>
            </w:r>
          </w:p>
        </w:tc>
      </w:tr>
      <w:tr w14:paraId="4AA1E1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4" w:hRule="atLeast"/>
        </w:trPr>
        <w:tc>
          <w:tcPr>
            <w:tcW w:w="1840" w:type="dxa"/>
            <w:vAlign w:val="center"/>
          </w:tcPr>
          <w:p w14:paraId="7BA3885E">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26-45</w:t>
            </w:r>
          </w:p>
        </w:tc>
        <w:tc>
          <w:tcPr>
            <w:tcW w:w="2758" w:type="dxa"/>
            <w:vAlign w:val="center"/>
          </w:tcPr>
          <w:p w14:paraId="4644D9FB">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724" w:type="dxa"/>
            <w:vAlign w:val="center"/>
          </w:tcPr>
          <w:p w14:paraId="2CFB337C">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1551-2025</w:t>
            </w:r>
          </w:p>
        </w:tc>
        <w:tc>
          <w:tcPr>
            <w:tcW w:w="2850" w:type="dxa"/>
            <w:vAlign w:val="center"/>
          </w:tcPr>
          <w:p w14:paraId="3694CA22">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15</w:t>
            </w:r>
          </w:p>
        </w:tc>
      </w:tr>
      <w:tr w14:paraId="15827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2E16B479">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46-65</w:t>
            </w:r>
          </w:p>
        </w:tc>
        <w:tc>
          <w:tcPr>
            <w:tcW w:w="2758" w:type="dxa"/>
            <w:vAlign w:val="center"/>
          </w:tcPr>
          <w:p w14:paraId="1D951DF3">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724" w:type="dxa"/>
            <w:vAlign w:val="center"/>
          </w:tcPr>
          <w:p w14:paraId="70F9A393">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2026-2675</w:t>
            </w:r>
          </w:p>
        </w:tc>
        <w:tc>
          <w:tcPr>
            <w:tcW w:w="2850" w:type="dxa"/>
            <w:vAlign w:val="center"/>
          </w:tcPr>
          <w:p w14:paraId="7CE977F2">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16</w:t>
            </w:r>
          </w:p>
        </w:tc>
      </w:tr>
      <w:tr w14:paraId="3E41D3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43794BCF">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66-85</w:t>
            </w:r>
          </w:p>
        </w:tc>
        <w:tc>
          <w:tcPr>
            <w:tcW w:w="2758" w:type="dxa"/>
            <w:vAlign w:val="center"/>
          </w:tcPr>
          <w:p w14:paraId="48CD7426">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724" w:type="dxa"/>
            <w:vAlign w:val="center"/>
          </w:tcPr>
          <w:p w14:paraId="068C6D21">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2676-3450</w:t>
            </w:r>
          </w:p>
        </w:tc>
        <w:tc>
          <w:tcPr>
            <w:tcW w:w="2850" w:type="dxa"/>
            <w:vAlign w:val="center"/>
          </w:tcPr>
          <w:p w14:paraId="73C668E7">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17</w:t>
            </w:r>
          </w:p>
        </w:tc>
      </w:tr>
      <w:tr w14:paraId="7E50EF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02546C93">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86-125</w:t>
            </w:r>
          </w:p>
        </w:tc>
        <w:tc>
          <w:tcPr>
            <w:tcW w:w="2758" w:type="dxa"/>
            <w:vAlign w:val="center"/>
          </w:tcPr>
          <w:p w14:paraId="01FBD0EE">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724" w:type="dxa"/>
            <w:vAlign w:val="center"/>
          </w:tcPr>
          <w:p w14:paraId="07B42A87">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3451-4350</w:t>
            </w:r>
          </w:p>
        </w:tc>
        <w:tc>
          <w:tcPr>
            <w:tcW w:w="2850" w:type="dxa"/>
            <w:vAlign w:val="center"/>
          </w:tcPr>
          <w:p w14:paraId="1561D241">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18</w:t>
            </w:r>
          </w:p>
        </w:tc>
      </w:tr>
      <w:tr w14:paraId="391C0A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5AE0B8B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126-175</w:t>
            </w:r>
          </w:p>
        </w:tc>
        <w:tc>
          <w:tcPr>
            <w:tcW w:w="2758" w:type="dxa"/>
            <w:vAlign w:val="center"/>
          </w:tcPr>
          <w:p w14:paraId="3D3BA873">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w:t>
            </w:r>
          </w:p>
        </w:tc>
        <w:tc>
          <w:tcPr>
            <w:tcW w:w="1724" w:type="dxa"/>
            <w:vAlign w:val="center"/>
          </w:tcPr>
          <w:p w14:paraId="42C2632D">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4351-5450</w:t>
            </w:r>
          </w:p>
        </w:tc>
        <w:tc>
          <w:tcPr>
            <w:tcW w:w="2850" w:type="dxa"/>
            <w:vAlign w:val="center"/>
          </w:tcPr>
          <w:p w14:paraId="67597ABC">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19</w:t>
            </w:r>
          </w:p>
        </w:tc>
      </w:tr>
      <w:tr w14:paraId="7E5224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110B7D28">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176-275</w:t>
            </w:r>
          </w:p>
        </w:tc>
        <w:tc>
          <w:tcPr>
            <w:tcW w:w="2758" w:type="dxa"/>
            <w:vAlign w:val="center"/>
          </w:tcPr>
          <w:p w14:paraId="73740FC4">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w:t>
            </w:r>
          </w:p>
        </w:tc>
        <w:tc>
          <w:tcPr>
            <w:tcW w:w="1724" w:type="dxa"/>
            <w:vAlign w:val="center"/>
          </w:tcPr>
          <w:p w14:paraId="20E9F5C6">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5451-6800</w:t>
            </w:r>
          </w:p>
        </w:tc>
        <w:tc>
          <w:tcPr>
            <w:tcW w:w="2850" w:type="dxa"/>
            <w:vAlign w:val="center"/>
          </w:tcPr>
          <w:p w14:paraId="7E1D273C">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20</w:t>
            </w:r>
          </w:p>
        </w:tc>
      </w:tr>
      <w:tr w14:paraId="66026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05FCE27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276-425</w:t>
            </w:r>
          </w:p>
        </w:tc>
        <w:tc>
          <w:tcPr>
            <w:tcW w:w="2758" w:type="dxa"/>
            <w:vAlign w:val="center"/>
          </w:tcPr>
          <w:p w14:paraId="6D1FAEB5">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10</w:t>
            </w:r>
          </w:p>
        </w:tc>
        <w:tc>
          <w:tcPr>
            <w:tcW w:w="1724" w:type="dxa"/>
            <w:vAlign w:val="center"/>
          </w:tcPr>
          <w:p w14:paraId="56A954B9">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6801-8500</w:t>
            </w:r>
          </w:p>
        </w:tc>
        <w:tc>
          <w:tcPr>
            <w:tcW w:w="2850" w:type="dxa"/>
            <w:vAlign w:val="center"/>
          </w:tcPr>
          <w:p w14:paraId="49A49F97">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21</w:t>
            </w:r>
          </w:p>
        </w:tc>
      </w:tr>
      <w:tr w14:paraId="6EC160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1840" w:type="dxa"/>
            <w:vAlign w:val="center"/>
          </w:tcPr>
          <w:p w14:paraId="06BF662C">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426-625</w:t>
            </w:r>
          </w:p>
        </w:tc>
        <w:tc>
          <w:tcPr>
            <w:tcW w:w="2758" w:type="dxa"/>
            <w:vAlign w:val="center"/>
          </w:tcPr>
          <w:p w14:paraId="6FADCF86">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11</w:t>
            </w:r>
          </w:p>
        </w:tc>
        <w:tc>
          <w:tcPr>
            <w:tcW w:w="1724" w:type="dxa"/>
            <w:vAlign w:val="center"/>
          </w:tcPr>
          <w:p w14:paraId="06B0D85A">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3"/>
                <w:sz w:val="24"/>
                <w:szCs w:val="24"/>
                <w:highlight w:val="none"/>
              </w:rPr>
              <w:t>8501-10700</w:t>
            </w:r>
          </w:p>
        </w:tc>
        <w:tc>
          <w:tcPr>
            <w:tcW w:w="2850" w:type="dxa"/>
            <w:vAlign w:val="center"/>
          </w:tcPr>
          <w:p w14:paraId="5D24F572">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22</w:t>
            </w:r>
          </w:p>
        </w:tc>
      </w:tr>
      <w:tr w14:paraId="6DF890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1840" w:type="dxa"/>
            <w:vAlign w:val="center"/>
          </w:tcPr>
          <w:p w14:paraId="27DFBAD2">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626-875</w:t>
            </w:r>
          </w:p>
        </w:tc>
        <w:tc>
          <w:tcPr>
            <w:tcW w:w="2758" w:type="dxa"/>
            <w:vAlign w:val="center"/>
          </w:tcPr>
          <w:p w14:paraId="2508F551">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4"/>
                <w:sz w:val="24"/>
                <w:szCs w:val="24"/>
                <w:highlight w:val="none"/>
              </w:rPr>
              <w:t>12</w:t>
            </w:r>
          </w:p>
        </w:tc>
        <w:tc>
          <w:tcPr>
            <w:tcW w:w="1724" w:type="dxa"/>
            <w:vAlign w:val="center"/>
          </w:tcPr>
          <w:p w14:paraId="0F7D9619">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&gt;10700</w:t>
            </w:r>
          </w:p>
        </w:tc>
        <w:tc>
          <w:tcPr>
            <w:tcW w:w="2850" w:type="dxa"/>
            <w:vAlign w:val="center"/>
          </w:tcPr>
          <w:p w14:paraId="14FE0894">
            <w:pPr>
              <w:pStyle w:val="17"/>
              <w:keepNext w:val="0"/>
              <w:keepLines w:val="0"/>
              <w:pageBreakBefore w:val="0"/>
              <w:widowControl/>
              <w:kinsoku/>
              <w:wordWrap/>
              <w:overflowPunct/>
              <w:topLinePunct w:val="0"/>
              <w:autoSpaceDE/>
              <w:autoSpaceDN/>
              <w:bidi w:val="0"/>
              <w:adjustRightInd/>
              <w:snapToGrid/>
              <w:spacing w:line="240" w:lineRule="auto"/>
              <w:ind w:left="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遵循上述递进规律</w:t>
            </w:r>
          </w:p>
        </w:tc>
      </w:tr>
    </w:tbl>
    <w:p w14:paraId="7419EC3D">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w:t>
      </w:r>
    </w:p>
    <w:p w14:paraId="047BE4D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1.有效人数包括认证范围内涉及的所有人员（含每个班次的人员）。认证范围内覆盖的非固定人员（如承包商人员）和兼职人员也应包括在有效人数内。</w:t>
      </w:r>
    </w:p>
    <w:p w14:paraId="2BB308D6">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2.对非固定人员（包括季节性人员、临时人员和分包商人员）和兼职人员的有效人数确定，可根据其实际工作小时数予以适当减少或换算成等效的全职人员数。</w:t>
      </w:r>
    </w:p>
    <w:p w14:paraId="6CD72B25">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3.认证委托人正常工作期间（包括轮班）安排的审核时间可以计入有效的管理体系认证审核时间，但往返多个审核场所之间所花费的路途时间不计入有效的管理体系认证审核时间。</w:t>
      </w:r>
    </w:p>
    <w:p w14:paraId="6A97F347">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被确定为低风险认证业务类别的，认证审核活动可根据需要在按照表3计算所得审核时间的基础上，最多减少10%；被确定为中风险认证业务类别的，认证审核活动应按照表3计算审核时间；被确定为高风险认证业务类别的，认证审核活动应在按照表3计算所得审核时间的基础上，至少增加10%。</w:t>
      </w:r>
    </w:p>
    <w:p w14:paraId="155B524F">
      <w:pPr>
        <w:spacing w:line="324" w:lineRule="auto"/>
        <w:jc w:val="left"/>
        <w:rPr>
          <w:color w:val="auto"/>
          <w:highlight w:val="none"/>
        </w:rPr>
      </w:pPr>
      <w:r>
        <w:rPr>
          <w:rFonts w:hint="eastAsia" w:ascii="宋体" w:hAnsi="宋体" w:eastAsia="宋体" w:cs="宋体"/>
          <w:color w:val="auto"/>
          <w:sz w:val="24"/>
          <w:szCs w:val="24"/>
          <w:highlight w:val="none"/>
          <w:lang w:val="en-US" w:eastAsia="zh-CN"/>
        </w:rPr>
        <w:t>18.3认证证书编号规则</w:t>
      </w:r>
    </w:p>
    <w:p w14:paraId="2FE14BC7">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color w:val="auto"/>
          <w:highlight w:val="none"/>
        </w:rPr>
      </w:pPr>
      <w:r>
        <w:rPr>
          <w:rFonts w:ascii="宋体" w:hAnsi="宋体" w:eastAsia="宋体" w:cs="宋体"/>
          <w:color w:val="auto"/>
          <w:spacing w:val="0"/>
          <w:sz w:val="24"/>
          <w:szCs w:val="24"/>
          <w:highlight w:val="none"/>
          <w:lang w:val="en-US" w:eastAsia="zh-CN"/>
        </w:rPr>
        <w:t>认证证书编号由认证机构代码、发证年份号、</w:t>
      </w:r>
      <w:r>
        <w:rPr>
          <w:rFonts w:hint="eastAsia" w:ascii="宋体" w:hAnsi="宋体" w:eastAsia="宋体" w:cs="宋体"/>
          <w:color w:val="auto"/>
          <w:spacing w:val="0"/>
          <w:sz w:val="24"/>
          <w:szCs w:val="24"/>
          <w:highlight w:val="none"/>
          <w:lang w:val="en-US" w:eastAsia="zh-CN"/>
        </w:rPr>
        <w:t>管理体系</w:t>
      </w:r>
      <w:r>
        <w:rPr>
          <w:rFonts w:ascii="宋体" w:hAnsi="宋体" w:eastAsia="宋体" w:cs="宋体"/>
          <w:color w:val="auto"/>
          <w:spacing w:val="0"/>
          <w:sz w:val="24"/>
          <w:szCs w:val="24"/>
          <w:highlight w:val="none"/>
          <w:lang w:val="en-US" w:eastAsia="zh-CN"/>
        </w:rPr>
        <w:t>简写、顺序号、认证周期、认可机构代码和子证书号构成，格式如下：</w:t>
      </w:r>
    </w:p>
    <w:tbl>
      <w:tblPr>
        <w:tblStyle w:val="18"/>
        <w:tblW w:w="9945" w:type="dxa"/>
        <w:tblInd w:w="-291"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569"/>
        <w:gridCol w:w="1429"/>
        <w:gridCol w:w="1727"/>
        <w:gridCol w:w="1140"/>
        <w:gridCol w:w="1665"/>
        <w:gridCol w:w="2415"/>
      </w:tblGrid>
      <w:tr w14:paraId="695982F3">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71" w:hRule="atLeast"/>
        </w:trPr>
        <w:tc>
          <w:tcPr>
            <w:tcW w:w="1569" w:type="dxa"/>
            <w:vAlign w:val="center"/>
          </w:tcPr>
          <w:p w14:paraId="0A2ADA9B">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XXXX</w:t>
            </w:r>
          </w:p>
        </w:tc>
        <w:tc>
          <w:tcPr>
            <w:tcW w:w="1429" w:type="dxa"/>
            <w:vAlign w:val="center"/>
          </w:tcPr>
          <w:p w14:paraId="259C666E">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XX</w:t>
            </w:r>
          </w:p>
        </w:tc>
        <w:tc>
          <w:tcPr>
            <w:tcW w:w="1727" w:type="dxa"/>
            <w:vAlign w:val="center"/>
          </w:tcPr>
          <w:p w14:paraId="6E45C7EE">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X</w:t>
            </w:r>
          </w:p>
        </w:tc>
        <w:tc>
          <w:tcPr>
            <w:tcW w:w="1140" w:type="dxa"/>
            <w:vAlign w:val="center"/>
          </w:tcPr>
          <w:p w14:paraId="22C6086A">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XXXXX</w:t>
            </w:r>
          </w:p>
        </w:tc>
        <w:tc>
          <w:tcPr>
            <w:tcW w:w="1665" w:type="dxa"/>
            <w:vAlign w:val="center"/>
          </w:tcPr>
          <w:p w14:paraId="6B0F61CC">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R0（1、2、⋯)</w:t>
            </w:r>
          </w:p>
        </w:tc>
        <w:tc>
          <w:tcPr>
            <w:tcW w:w="2415" w:type="dxa"/>
            <w:vAlign w:val="center"/>
          </w:tcPr>
          <w:p w14:paraId="5390F002">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XX-X</w:t>
            </w:r>
          </w:p>
        </w:tc>
      </w:tr>
      <w:tr w14:paraId="3094F60B">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530" w:hRule="atLeast"/>
        </w:trPr>
        <w:tc>
          <w:tcPr>
            <w:tcW w:w="1569" w:type="dxa"/>
            <w:vAlign w:val="center"/>
          </w:tcPr>
          <w:p w14:paraId="573A09E0">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认证机构代码</w:t>
            </w:r>
          </w:p>
        </w:tc>
        <w:tc>
          <w:tcPr>
            <w:tcW w:w="1429" w:type="dxa"/>
            <w:vAlign w:val="center"/>
          </w:tcPr>
          <w:p w14:paraId="6729D36D">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发证年份号</w:t>
            </w:r>
          </w:p>
        </w:tc>
        <w:tc>
          <w:tcPr>
            <w:tcW w:w="1727" w:type="dxa"/>
            <w:vAlign w:val="center"/>
          </w:tcPr>
          <w:p w14:paraId="36F40DC6">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管理体系简</w:t>
            </w:r>
            <w:r>
              <w:rPr>
                <w:rFonts w:ascii="宋体" w:hAnsi="宋体" w:eastAsia="宋体" w:cs="宋体"/>
                <w:color w:val="auto"/>
                <w:sz w:val="24"/>
                <w:szCs w:val="24"/>
                <w:highlight w:val="none"/>
              </w:rPr>
              <w:t>写</w:t>
            </w:r>
          </w:p>
        </w:tc>
        <w:tc>
          <w:tcPr>
            <w:tcW w:w="1140" w:type="dxa"/>
            <w:vAlign w:val="center"/>
          </w:tcPr>
          <w:p w14:paraId="045A5039">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顺序号</w:t>
            </w:r>
          </w:p>
        </w:tc>
        <w:tc>
          <w:tcPr>
            <w:tcW w:w="1665" w:type="dxa"/>
            <w:vAlign w:val="center"/>
          </w:tcPr>
          <w:p w14:paraId="0899B924">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认证周期</w:t>
            </w:r>
          </w:p>
        </w:tc>
        <w:tc>
          <w:tcPr>
            <w:tcW w:w="2415" w:type="dxa"/>
            <w:vAlign w:val="center"/>
          </w:tcPr>
          <w:p w14:paraId="507B7F28">
            <w:pPr>
              <w:keepNext w:val="0"/>
              <w:keepLines w:val="0"/>
              <w:pageBreakBefore w:val="0"/>
              <w:widowControl/>
              <w:kinsoku/>
              <w:wordWrap/>
              <w:overflowPunct/>
              <w:topLinePunct w:val="0"/>
              <w:autoSpaceDE/>
              <w:autoSpaceDN/>
              <w:bidi w:val="0"/>
              <w:adjustRightInd/>
              <w:snapToGrid/>
              <w:spacing w:before="0" w:line="240" w:lineRule="auto"/>
              <w:ind w:left="0"/>
              <w:jc w:val="center"/>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认可机构代码子证书号</w:t>
            </w:r>
          </w:p>
        </w:tc>
      </w:tr>
    </w:tbl>
    <w:p w14:paraId="5A9881AB">
      <w:pPr>
        <w:pStyle w:val="3"/>
        <w:spacing w:line="271" w:lineRule="auto"/>
        <w:rPr>
          <w:color w:val="auto"/>
          <w:highlight w:val="none"/>
        </w:rPr>
      </w:pPr>
    </w:p>
    <w:p w14:paraId="48FDA746">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1.认证机构代码：内资认证机构为认证机构批准号后三/四位数字批准流水号；外资认证机构为F+认证机构批准号后三数字批准流水号，不足三位的，首位以0补位。</w:t>
      </w:r>
    </w:p>
    <w:p w14:paraId="3B263C2F">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2.发证年份号：认证证书签发年份：25-2025，26-2026，……</w:t>
      </w:r>
    </w:p>
    <w:p w14:paraId="7D938B42">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3.管理体系简写：认证证书所属领域代号。</w:t>
      </w:r>
    </w:p>
    <w:p w14:paraId="56E80FFD">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4.顺序号：一个认证机构当年发出该管理体系认证证书的顺序累计号：00001，00002，……</w:t>
      </w:r>
    </w:p>
    <w:p w14:paraId="45F5B126">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5.认证周期：后缀表示初次认证或再认证换证号：初次认证为R0，第一次再认证换证为R1，第二次再认证换证为R2，……</w:t>
      </w:r>
    </w:p>
    <w:p w14:paraId="7955A07F">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6.认可机构代码子证书号：通过认可的填写认可机构代码，未通过认可代码为“00”。</w:t>
      </w:r>
    </w:p>
    <w:p w14:paraId="0F257502">
      <w:pPr>
        <w:keepNext w:val="0"/>
        <w:keepLines w:val="0"/>
        <w:pageBreakBefore w:val="0"/>
        <w:widowControl/>
        <w:kinsoku/>
        <w:wordWrap/>
        <w:overflowPunct/>
        <w:topLinePunct w:val="0"/>
        <w:autoSpaceDE/>
        <w:autoSpaceDN/>
        <w:bidi w:val="0"/>
        <w:adjustRightInd/>
        <w:snapToGrid/>
        <w:spacing w:beforeLines="0" w:afterLines="0" w:line="324" w:lineRule="auto"/>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7.多场所组织的子证书编号应与主证书的编号相关，在主证书编号后加子证书序号：-1，-2，……</w:t>
      </w:r>
    </w:p>
    <w:p w14:paraId="025B44C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注：认证机构批准号的编号格式为“CNCA-R/RF-年份-流水号”，其中R表示内资认证机构，RF表示外资认证机构，年份为4位阿拉伯数字，流水号是内资、外资认证机构分别流水编号。内资认证机构代码为：该认证机构批准号的3位或4位阿拉伯数字批准流水号；外资认证机构代码为：F+认证机构批准号的后3位阿拉伯数字批准流水号，不足3位的，首位以0补位。</w:t>
      </w:r>
    </w:p>
    <w:p w14:paraId="34F37C39">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C.2同一个组织的认证范围覆盖多个场所并需要颁发子证书时，子证书编号为在主认证证书编号后加上“-”和序号，如-1（-2，-3，……)。</w:t>
      </w:r>
    </w:p>
    <w:p w14:paraId="6EAF87C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C.3有效期内换发认证证书，认证证书编号中的机构注册号、年份号、顺序号和认证证书的有效期保持不变，应注明换证日期。</w:t>
      </w:r>
    </w:p>
    <w:p w14:paraId="24C2344F">
      <w:pPr>
        <w:spacing w:before="0" w:line="324" w:lineRule="auto"/>
        <w:ind w:right="0" w:firstLine="0"/>
        <w:jc w:val="left"/>
        <w:rPr>
          <w:rFonts w:ascii="宋体" w:hAnsi="宋体" w:eastAsia="宋体" w:cs="宋体"/>
          <w:color w:val="auto"/>
          <w:sz w:val="24"/>
          <w:szCs w:val="24"/>
          <w:highlight w:val="none"/>
          <w:lang w:val="en-US" w:eastAsia="zh-CN"/>
        </w:rPr>
      </w:pPr>
      <w:r>
        <w:rPr>
          <w:rFonts w:ascii="宋体" w:hAnsi="宋体" w:eastAsia="宋体" w:cs="宋体"/>
          <w:color w:val="auto"/>
          <w:spacing w:val="0"/>
          <w:sz w:val="24"/>
          <w:szCs w:val="24"/>
          <w:highlight w:val="none"/>
          <w:lang w:val="en-US" w:eastAsia="zh-CN"/>
        </w:rPr>
        <w:t>C.4再认证完成后换发认证证书，按C.1规定重新赋予认证证书编号，</w:t>
      </w:r>
      <w:r>
        <w:rPr>
          <w:rFonts w:ascii="宋体" w:hAnsi="宋体" w:eastAsia="宋体" w:cs="宋体"/>
          <w:color w:val="auto"/>
          <w:sz w:val="24"/>
          <w:szCs w:val="24"/>
          <w:highlight w:val="none"/>
          <w:lang w:val="en-US" w:eastAsia="zh-CN"/>
        </w:rPr>
        <w:t>初次认证为“R0”，第一次再认证为“R1”，第</w:t>
      </w:r>
      <w:r>
        <w:rPr>
          <w:rFonts w:ascii="宋体" w:hAnsi="宋体" w:eastAsia="宋体" w:cs="宋体"/>
          <w:color w:val="auto"/>
          <w:spacing w:val="0"/>
          <w:sz w:val="24"/>
          <w:szCs w:val="24"/>
          <w:highlight w:val="none"/>
          <w:lang w:val="en-US" w:eastAsia="zh-CN"/>
        </w:rPr>
        <w:t>二次再认证为“R2”，依此类推。</w:t>
      </w:r>
    </w:p>
    <w:p w14:paraId="5BBBA0F0">
      <w:pPr>
        <w:spacing w:before="0" w:line="324" w:lineRule="auto"/>
        <w:ind w:left="0"/>
        <w:jc w:val="left"/>
        <w:rPr>
          <w:rFonts w:hint="default" w:ascii="宋体" w:hAnsi="宋体" w:eastAsia="宋体" w:cs="宋体"/>
          <w:color w:val="auto"/>
          <w:sz w:val="24"/>
          <w:szCs w:val="24"/>
          <w:highlight w:val="none"/>
          <w:lang w:val="en-US" w:eastAsia="zh-CN"/>
        </w:rPr>
      </w:pPr>
      <w:r>
        <w:rPr>
          <w:rFonts w:ascii="宋体" w:hAnsi="宋体" w:eastAsia="宋体" w:cs="宋体"/>
          <w:color w:val="auto"/>
          <w:spacing w:val="0"/>
          <w:sz w:val="24"/>
          <w:szCs w:val="24"/>
          <w:highlight w:val="none"/>
          <w:lang w:val="en-US" w:eastAsia="zh-CN"/>
        </w:rPr>
        <w:t>C.5撤销认证证书后，原认证证书编号废止，不再使用。</w:t>
      </w:r>
    </w:p>
    <w:bookmarkEnd w:id="38"/>
    <w:p w14:paraId="71AF868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18.3相关文件</w:t>
      </w:r>
    </w:p>
    <w:p w14:paraId="5A8CBD74">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18.3.1《CCTC-ZD-25 管理体系多场所认证审核管理规定》</w:t>
      </w:r>
    </w:p>
    <w:p w14:paraId="0469460C">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eastAsia" w:ascii="宋体" w:hAnsi="宋体" w:eastAsia="宋体" w:cs="宋体"/>
          <w:color w:val="000000" w:themeColor="text1"/>
          <w:sz w:val="24"/>
          <w:szCs w:val="24"/>
          <w:lang w:val="en-US" w:eastAsia="zh-CN"/>
          <w14:textFill>
            <w14:solidFill>
              <w14:schemeClr w14:val="tx1"/>
            </w14:solidFill>
          </w14:textFill>
        </w:rPr>
      </w:pPr>
      <w:bookmarkStart w:id="40" w:name="_Toc4841"/>
      <w:bookmarkStart w:id="41" w:name="_Toc18814"/>
      <w:r>
        <w:rPr>
          <w:rFonts w:hint="eastAsia" w:ascii="宋体" w:hAnsi="宋体" w:eastAsia="宋体" w:cs="宋体"/>
          <w:color w:val="000000" w:themeColor="text1"/>
          <w:sz w:val="24"/>
          <w:szCs w:val="24"/>
          <w:lang w:val="en-US" w:eastAsia="zh-CN"/>
          <w14:textFill>
            <w14:solidFill>
              <w14:schemeClr w14:val="tx1"/>
            </w14:solidFill>
          </w14:textFill>
        </w:rPr>
        <w:t>18.3.2《CX-T-30 认证证书和标志使用的管理程序》</w:t>
      </w:r>
      <w:bookmarkEnd w:id="40"/>
      <w:bookmarkEnd w:id="41"/>
    </w:p>
    <w:p w14:paraId="150E6BD7">
      <w:pPr>
        <w:spacing w:before="0" w:line="324" w:lineRule="auto"/>
        <w:ind w:left="0"/>
        <w:jc w:val="left"/>
        <w:rPr>
          <w:rFonts w:hint="default" w:ascii="宋体" w:hAnsi="宋体" w:eastAsia="宋体" w:cs="宋体"/>
          <w:color w:val="auto"/>
          <w:spacing w:val="0"/>
          <w:sz w:val="24"/>
          <w:szCs w:val="24"/>
          <w:highlight w:val="none"/>
          <w:lang w:val="en-US" w:eastAsia="zh-CN"/>
        </w:rPr>
      </w:pPr>
      <w:bookmarkStart w:id="42" w:name="_Toc5924"/>
      <w:bookmarkStart w:id="43" w:name="_Toc3149"/>
      <w:r>
        <w:rPr>
          <w:rFonts w:hint="eastAsia" w:ascii="宋体" w:hAnsi="宋体" w:eastAsia="宋体" w:cs="宋体"/>
          <w:color w:val="000000" w:themeColor="text1"/>
          <w:sz w:val="24"/>
          <w:szCs w:val="24"/>
          <w:lang w:val="en-US" w:eastAsia="zh-CN"/>
          <w14:textFill>
            <w14:solidFill>
              <w14:schemeClr w14:val="tx1"/>
            </w14:solidFill>
          </w14:textFill>
        </w:rPr>
        <w:t>18.3.3《CX-T-25授予、拒绝、保持、扩大、缩小、暂停、恢复、撤销、更新认证程序》</w:t>
      </w:r>
      <w:bookmarkEnd w:id="42"/>
      <w:bookmarkEnd w:id="43"/>
    </w:p>
    <w:p w14:paraId="13FFDF5F">
      <w:pPr>
        <w:keepNext w:val="0"/>
        <w:keepLines w:val="0"/>
        <w:widowControl/>
        <w:kinsoku/>
        <w:wordWrap/>
        <w:overflowPunct/>
        <w:topLinePunct w:val="0"/>
        <w:autoSpaceDE/>
        <w:autoSpaceDN/>
        <w:bidi w:val="0"/>
        <w:adjustRightInd/>
        <w:snapToGrid/>
        <w:spacing w:beforeLines="0" w:afterLines="0" w:line="324"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18.4认证证书样版</w:t>
      </w:r>
    </w:p>
    <w:bookmarkEnd w:id="7"/>
    <w:bookmarkEnd w:id="8"/>
    <w:p w14:paraId="047FBDC4">
      <w:pPr>
        <w:keepNext w:val="0"/>
        <w:keepLines w:val="0"/>
        <w:widowControl/>
        <w:kinsoku/>
        <w:wordWrap/>
        <w:overflowPunct/>
        <w:topLinePunct w:val="0"/>
        <w:autoSpaceDE/>
        <w:autoSpaceDN/>
        <w:bidi w:val="0"/>
        <w:adjustRightInd/>
        <w:snapToGrid/>
        <w:spacing w:beforeLines="0" w:afterLines="0" w:line="324" w:lineRule="auto"/>
        <w:jc w:val="center"/>
        <w:textAlignment w:val="auto"/>
        <w:rPr>
          <w:rFonts w:hint="eastAsia"/>
          <w:lang w:val="en-US" w:eastAsia="zh-CN"/>
        </w:rPr>
      </w:pPr>
      <w:r>
        <w:drawing>
          <wp:inline distT="0" distB="0" distL="114300" distR="114300">
            <wp:extent cx="5095875" cy="7229475"/>
            <wp:effectExtent l="0" t="0" r="9525" b="952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4"/>
                    <a:stretch>
                      <a:fillRect/>
                    </a:stretch>
                  </pic:blipFill>
                  <pic:spPr>
                    <a:xfrm>
                      <a:off x="0" y="0"/>
                      <a:ext cx="5095875" cy="7229475"/>
                    </a:xfrm>
                    <a:prstGeom prst="rect">
                      <a:avLst/>
                    </a:prstGeom>
                    <a:noFill/>
                    <a:ln>
                      <a:noFill/>
                    </a:ln>
                  </pic:spPr>
                </pic:pic>
              </a:graphicData>
            </a:graphic>
          </wp:inline>
        </w:drawing>
      </w:r>
    </w:p>
    <w:sectPr>
      <w:footerReference r:id="rId11" w:type="default"/>
      <w:pgSz w:w="11906" w:h="17338"/>
      <w:pgMar w:top="1134" w:right="1134" w:bottom="1134" w:left="1134" w:header="720" w:footer="720" w:gutter="0"/>
      <w:lnNumType w:countBy="0" w:distance="360"/>
      <w:pgNumType w:fmt="numberInDash"/>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swiss"/>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955ED">
    <w:pPr>
      <w:pStyle w:val="4"/>
    </w:pPr>
    <w:r>
      <w:rPr>
        <w:rFonts w:hint="eastAsia" w:eastAsia="宋体"/>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AD030">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1C909D">
    <w:pPr>
      <w:pStyle w:val="4"/>
    </w:pPr>
    <w:r>
      <w:rPr>
        <w:rFonts w:hint="eastAsia" w:eastAsia="宋体"/>
        <w:lang w:eastAsia="zh-CN"/>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F73F0">
    <w:pPr>
      <w:pStyle w:val="4"/>
    </w:pPr>
    <w:bookmarkStart w:id="44" w:name="_GoBack"/>
    <w:bookmarkEnd w:id="44"/>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53D86">
    <w:pPr>
      <w:spacing w:before="1" w:line="229" w:lineRule="auto"/>
      <w:ind w:left="4336"/>
      <w:rPr>
        <w:rFonts w:ascii="仿宋" w:hAnsi="仿宋" w:eastAsia="仿宋" w:cs="仿宋"/>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EB6428">
                          <w:pPr>
                            <w:pStyle w:val="4"/>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05EB6428">
                    <w:pPr>
                      <w:pStyle w:val="4"/>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DEC3B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98EF67">
                          <w:pPr>
                            <w:pStyle w:val="4"/>
                          </w:pPr>
                          <w:r>
                            <w:fldChar w:fldCharType="begin"/>
                          </w:r>
                          <w:r>
                            <w:instrText xml:space="preserve"> PAGE  \* MERGEFORMAT </w:instrText>
                          </w:r>
                          <w:r>
                            <w:fldChar w:fldCharType="separate"/>
                          </w:r>
                          <w:r>
                            <w:t>- 16 -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2598EF67">
                    <w:pPr>
                      <w:pStyle w:val="4"/>
                    </w:pPr>
                    <w:r>
                      <w:fldChar w:fldCharType="begin"/>
                    </w:r>
                    <w:r>
                      <w:instrText xml:space="preserve"> PAGE  \* MERGEFORMAT </w:instrText>
                    </w:r>
                    <w:r>
                      <w:fldChar w:fldCharType="separate"/>
                    </w:r>
                    <w:r>
                      <w:t>- 16 -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E5F64">
    <w:pPr>
      <w:pStyle w:val="5"/>
      <w:keepNext w:val="0"/>
      <w:keepLines w:val="0"/>
      <w:pageBreakBefore w:val="0"/>
      <w:widowControl/>
      <w:pBdr>
        <w:top w:val="none" w:color="auto" w:sz="0" w:space="1"/>
        <w:left w:val="none" w:color="auto" w:sz="0" w:space="4"/>
        <w:bottom w:val="single" w:color="auto" w:sz="4" w:space="1"/>
        <w:right w:val="none" w:color="auto" w:sz="0" w:space="4"/>
        <w:between w:val="none" w:color="auto" w:sz="0" w:space="0"/>
      </w:pBdr>
      <w:kinsoku/>
      <w:wordWrap w:val="0"/>
      <w:overflowPunct/>
      <w:topLinePunct w:val="0"/>
      <w:autoSpaceDE/>
      <w:autoSpaceDN/>
      <w:bidi w:val="0"/>
      <w:adjustRightInd/>
      <w:snapToGrid w:val="0"/>
      <w:jc w:val="both"/>
      <w:textAlignment w:val="auto"/>
      <w:outlineLvl w:val="9"/>
      <w:rPr>
        <w:rFonts w:hint="eastAsia" w:eastAsia="宋体"/>
        <w:lang w:val="en-US" w:eastAsia="zh-CN"/>
      </w:rPr>
    </w:pPr>
    <w:r>
      <w:rPr>
        <w:rFonts w:hint="eastAsia" w:ascii="黑体" w:hAnsi="黑体" w:eastAsia="黑体" w:cs="黑体"/>
        <w:b w:val="0"/>
        <w:bCs/>
        <w:sz w:val="21"/>
        <w:szCs w:val="21"/>
        <w:u w:val="none"/>
        <w:lang w:val="en-US" w:eastAsia="zh-CN"/>
      </w:rPr>
      <w:t>中证信检测认证中心（广东）有限公司</w:t>
    </w:r>
    <w:r>
      <w:rPr>
        <w:rFonts w:hint="eastAsia" w:ascii="黑体" w:hAnsi="黑体" w:eastAsia="黑体" w:cs="黑体"/>
        <w:sz w:val="21"/>
        <w:szCs w:val="21"/>
        <w:u w:val="none"/>
        <w:lang w:val="en-US" w:eastAsia="zh-CN"/>
      </w:rPr>
      <w:t xml:space="preserve">                                   </w:t>
    </w:r>
    <w:r>
      <w:rPr>
        <w:rFonts w:hint="eastAsia" w:ascii="黑体" w:hAnsi="黑体" w:eastAsia="黑体" w:cs="黑体"/>
        <w:b w:val="0"/>
        <w:bCs/>
        <w:sz w:val="21"/>
        <w:szCs w:val="21"/>
        <w:u w:val="none"/>
        <w:lang w:val="en-US" w:eastAsia="zh-CN"/>
      </w:rPr>
      <w:t xml:space="preserve">  编号：CCTC-GZ-BCMS-01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8841C">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rawingGridHorizontalSpacing w:val="120"/>
  <w:drawingGridVerticalSpacing w:val="120"/>
  <w:displayHorizontalDrawingGridEvery w:val="1"/>
  <w:displayVerticalDrawingGridEvery w:val="1"/>
  <w:doNotUseMarginsForDrawingGridOrigin w:val="1"/>
  <w:drawingGridHorizontalOrigin w:val="1701"/>
  <w:drawingGridVerticalOrigin w:val="1984"/>
  <w:doNotShadeFormData w:val="1"/>
  <w:noPunctuationKerning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VhMTQ3YzRlODYxZTg3NzAyZGViZDM2YTdmNjg5NDkifQ=="/>
  </w:docVars>
  <w:rsids>
    <w:rsidRoot w:val="00172A27"/>
    <w:rsid w:val="007200AE"/>
    <w:rsid w:val="01712D82"/>
    <w:rsid w:val="01822573"/>
    <w:rsid w:val="020476DE"/>
    <w:rsid w:val="023A4BFB"/>
    <w:rsid w:val="023D3D4E"/>
    <w:rsid w:val="0663167B"/>
    <w:rsid w:val="08F17FDE"/>
    <w:rsid w:val="096B7D90"/>
    <w:rsid w:val="09B90AFC"/>
    <w:rsid w:val="09FC6C3A"/>
    <w:rsid w:val="0ABB6AF5"/>
    <w:rsid w:val="0D8A2129"/>
    <w:rsid w:val="0F59068B"/>
    <w:rsid w:val="0FA638D0"/>
    <w:rsid w:val="0FED25EF"/>
    <w:rsid w:val="10440744"/>
    <w:rsid w:val="13017E7A"/>
    <w:rsid w:val="130D3C66"/>
    <w:rsid w:val="135F68E2"/>
    <w:rsid w:val="14884962"/>
    <w:rsid w:val="17AD5A18"/>
    <w:rsid w:val="18E86D07"/>
    <w:rsid w:val="18FE62F7"/>
    <w:rsid w:val="19151AC7"/>
    <w:rsid w:val="1952231E"/>
    <w:rsid w:val="1AB33345"/>
    <w:rsid w:val="1B53523C"/>
    <w:rsid w:val="1B5A5081"/>
    <w:rsid w:val="1BDF5F33"/>
    <w:rsid w:val="1D217898"/>
    <w:rsid w:val="1D835251"/>
    <w:rsid w:val="1F100071"/>
    <w:rsid w:val="1FEB1EA2"/>
    <w:rsid w:val="237F2F12"/>
    <w:rsid w:val="23C465C3"/>
    <w:rsid w:val="2492283E"/>
    <w:rsid w:val="268362C1"/>
    <w:rsid w:val="27174C5C"/>
    <w:rsid w:val="284657F9"/>
    <w:rsid w:val="28BC5ABB"/>
    <w:rsid w:val="28DC43AF"/>
    <w:rsid w:val="29D60DFE"/>
    <w:rsid w:val="2AA44A58"/>
    <w:rsid w:val="2BB47578"/>
    <w:rsid w:val="2C163734"/>
    <w:rsid w:val="2CB84A1D"/>
    <w:rsid w:val="2D404F0C"/>
    <w:rsid w:val="2D7B561D"/>
    <w:rsid w:val="2E5C17FE"/>
    <w:rsid w:val="2F252904"/>
    <w:rsid w:val="3304078A"/>
    <w:rsid w:val="330A6B42"/>
    <w:rsid w:val="332B5D17"/>
    <w:rsid w:val="34544A3A"/>
    <w:rsid w:val="358A392F"/>
    <w:rsid w:val="368D3EC2"/>
    <w:rsid w:val="37B60AB3"/>
    <w:rsid w:val="38392C84"/>
    <w:rsid w:val="39972597"/>
    <w:rsid w:val="3A7562AE"/>
    <w:rsid w:val="3BEEF703"/>
    <w:rsid w:val="3C3E4D0D"/>
    <w:rsid w:val="3C4D428D"/>
    <w:rsid w:val="3CA32DC2"/>
    <w:rsid w:val="3CEC4769"/>
    <w:rsid w:val="3D175CB7"/>
    <w:rsid w:val="3DF5764D"/>
    <w:rsid w:val="3EA13103"/>
    <w:rsid w:val="3FD055A4"/>
    <w:rsid w:val="3FFB2F15"/>
    <w:rsid w:val="40C63523"/>
    <w:rsid w:val="433F2EBE"/>
    <w:rsid w:val="43E837B0"/>
    <w:rsid w:val="447B4624"/>
    <w:rsid w:val="4538748E"/>
    <w:rsid w:val="48C20A74"/>
    <w:rsid w:val="499E503D"/>
    <w:rsid w:val="4A95161B"/>
    <w:rsid w:val="4B420BA6"/>
    <w:rsid w:val="4B9158CA"/>
    <w:rsid w:val="4C846D74"/>
    <w:rsid w:val="4CCD0D31"/>
    <w:rsid w:val="4EA640D1"/>
    <w:rsid w:val="4FD5108C"/>
    <w:rsid w:val="50255D1F"/>
    <w:rsid w:val="504F6E41"/>
    <w:rsid w:val="50AB003F"/>
    <w:rsid w:val="515B3813"/>
    <w:rsid w:val="53690469"/>
    <w:rsid w:val="53722729"/>
    <w:rsid w:val="53F209C0"/>
    <w:rsid w:val="54316AAD"/>
    <w:rsid w:val="545D5AF4"/>
    <w:rsid w:val="54653346"/>
    <w:rsid w:val="55F304BE"/>
    <w:rsid w:val="561A4DCD"/>
    <w:rsid w:val="565D0570"/>
    <w:rsid w:val="57384EB4"/>
    <w:rsid w:val="576D42A0"/>
    <w:rsid w:val="58F8376D"/>
    <w:rsid w:val="5A3E6877"/>
    <w:rsid w:val="5A66172E"/>
    <w:rsid w:val="5AD752CD"/>
    <w:rsid w:val="5B956E83"/>
    <w:rsid w:val="5C6C205A"/>
    <w:rsid w:val="5CC46711"/>
    <w:rsid w:val="5CDF4680"/>
    <w:rsid w:val="5D5A5637"/>
    <w:rsid w:val="5D942587"/>
    <w:rsid w:val="5DF73965"/>
    <w:rsid w:val="5EE81CB6"/>
    <w:rsid w:val="5F6A89A7"/>
    <w:rsid w:val="5FB3295C"/>
    <w:rsid w:val="603B6C8B"/>
    <w:rsid w:val="605E0C2A"/>
    <w:rsid w:val="60C36756"/>
    <w:rsid w:val="60D336CA"/>
    <w:rsid w:val="60E4470F"/>
    <w:rsid w:val="614E0C9F"/>
    <w:rsid w:val="61E433B1"/>
    <w:rsid w:val="632B74E9"/>
    <w:rsid w:val="63784BF5"/>
    <w:rsid w:val="642A77A1"/>
    <w:rsid w:val="66657435"/>
    <w:rsid w:val="66DC6D4D"/>
    <w:rsid w:val="674368EF"/>
    <w:rsid w:val="68C47A98"/>
    <w:rsid w:val="68E66475"/>
    <w:rsid w:val="6BEF6E5C"/>
    <w:rsid w:val="6D696F8E"/>
    <w:rsid w:val="6D8A306A"/>
    <w:rsid w:val="6E6733A0"/>
    <w:rsid w:val="6EA56A75"/>
    <w:rsid w:val="7110252A"/>
    <w:rsid w:val="718B38ED"/>
    <w:rsid w:val="747B7BA5"/>
    <w:rsid w:val="74CE4179"/>
    <w:rsid w:val="764346F2"/>
    <w:rsid w:val="77679C40"/>
    <w:rsid w:val="777A4144"/>
    <w:rsid w:val="77BFDE6B"/>
    <w:rsid w:val="77F71D21"/>
    <w:rsid w:val="78986F77"/>
    <w:rsid w:val="79C8563A"/>
    <w:rsid w:val="7A097A01"/>
    <w:rsid w:val="7A2A274E"/>
    <w:rsid w:val="7A3B10DC"/>
    <w:rsid w:val="7A8B1075"/>
    <w:rsid w:val="7B8F3F36"/>
    <w:rsid w:val="7BF6E6BF"/>
    <w:rsid w:val="7C3E55E7"/>
    <w:rsid w:val="7EF3E56C"/>
    <w:rsid w:val="7F3C6183"/>
    <w:rsid w:val="7F802FA5"/>
    <w:rsid w:val="7FA72EC3"/>
    <w:rsid w:val="7FDD1CC3"/>
    <w:rsid w:val="8FBFA3B8"/>
    <w:rsid w:val="AAE77CA6"/>
    <w:rsid w:val="AD7BC3FF"/>
    <w:rsid w:val="B6DD3422"/>
    <w:rsid w:val="B757336E"/>
    <w:rsid w:val="BD777B57"/>
    <w:rsid w:val="BDFBC23E"/>
    <w:rsid w:val="DFFFFD2A"/>
    <w:rsid w:val="E3FFF399"/>
    <w:rsid w:val="E6EBEFD9"/>
    <w:rsid w:val="E77E073B"/>
    <w:rsid w:val="E977D767"/>
    <w:rsid w:val="E9FB1847"/>
    <w:rsid w:val="EFFF165E"/>
    <w:rsid w:val="F3FF2C1C"/>
    <w:rsid w:val="FD3B3DD7"/>
    <w:rsid w:val="FF6C11F7"/>
    <w:rsid w:val="FFF320E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qFormat="1" w:unhideWhenUsed="0" w:uiPriority="99" w:semiHidden="0" w:name="table of figures"/>
    <w:lsdException w:qFormat="1" w:unhideWhenUsed="0" w:uiPriority="99" w:semiHidden="0" w:name="envelope address"/>
    <w:lsdException w:qFormat="1" w:unhideWhenUsed="0" w:uiPriority="99" w:semiHidden="0" w:name="envelope return"/>
    <w:lsdException w:qFormat="1" w:unhideWhenUsed="0" w:uiPriority="99" w:semiHidden="0" w:name="footnote reference"/>
    <w:lsdException w:qFormat="1" w:unhideWhenUsed="0" w:uiPriority="99" w:semiHidden="0" w:name="annotation reference"/>
    <w:lsdException w:qFormat="1" w:unhideWhenUsed="0" w:uiPriority="99" w:semiHidden="0"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qFormat="1" w:unhideWhenUsed="0" w:uiPriority="99" w:semiHidden="0" w:name="table of authorities"/>
    <w:lsdException w:qFormat="1" w:unhideWhenUsed="0" w:uiPriority="99" w:semiHidden="0" w:name="macro"/>
    <w:lsdException w:qFormat="1" w:unhideWhenUsed="0" w:uiPriority="99" w:semiHidden="0"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99" w:semiHidden="0" w:name="Title"/>
    <w:lsdException w:qFormat="1" w:unhideWhenUsed="0" w:uiPriority="99" w:semiHidden="0" w:name="Closing"/>
    <w:lsdException w:qFormat="1" w:unhideWhenUsed="0" w:uiPriority="99" w:semiHidden="0" w:name="Signature"/>
    <w:lsdException w:qFormat="1" w:uiPriority="99" w:semiHidden="0" w:name="Default Paragraph Font"/>
    <w:lsdException w:qFormat="1" w:unhideWhenUsed="0" w:uiPriority="0" w:name="Body Text"/>
    <w:lsdException w:qFormat="1" w:unhideWhenUsed="0" w:uiPriority="99"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semiHidden="0" w:name="List Continue 5"/>
    <w:lsdException w:qFormat="1" w:unhideWhenUsed="0" w:uiPriority="99" w:semiHidden="0" w:name="Message Header"/>
    <w:lsdException w:qFormat="1" w:unhideWhenUsed="0" w:uiPriority="99" w:semiHidden="0" w:name="Subtitle"/>
    <w:lsdException w:qFormat="1" w:unhideWhenUsed="0" w:uiPriority="99" w:semiHidden="0" w:name="Salutation"/>
    <w:lsdException w:qFormat="1" w:unhideWhenUsed="0" w:uiPriority="99" w:semiHidden="0" w:name="Date"/>
    <w:lsdException w:qFormat="1" w:unhideWhenUsed="0" w:uiPriority="99" w:semiHidden="0" w:name="Body Text First Indent"/>
    <w:lsdException w:qFormat="1" w:uiPriority="0" w:semiHidden="0" w:name="Body Text First Indent 2"/>
    <w:lsdException w:qFormat="1" w:unhideWhenUsed="0" w:uiPriority="99" w:semiHidden="0" w:name="Note Heading"/>
    <w:lsdException w:qFormat="1" w:uiPriority="0"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qFormat="1" w:unhideWhenUsed="0" w:uiPriority="99" w:semiHidden="0" w:name="Block Text"/>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qFormat="1" w:unhideWhenUsed="0" w:uiPriority="99" w:semiHidden="0" w:name="E-mail Signature"/>
    <w:lsdException w:qFormat="1" w:unhideWhenUsed="0" w:uiPriority="99" w:semiHidden="0" w:name="Normal (Web)"/>
    <w:lsdException w:qFormat="1" w:unhideWhenUsed="0" w:uiPriority="99" w:semiHidden="0" w:name="HTML Acronym"/>
    <w:lsdException w:qFormat="1" w:unhideWhenUsed="0" w:uiPriority="99" w:semiHidden="0" w:name="HTML Address"/>
    <w:lsdException w:qFormat="1" w:unhideWhenUsed="0" w:uiPriority="99" w:semiHidden="0" w:name="HTML Cite"/>
    <w:lsdException w:qFormat="1" w:unhideWhenUsed="0" w:uiPriority="99" w:semiHidden="0" w:name="HTML Code"/>
    <w:lsdException w:qFormat="1" w:unhideWhenUsed="0" w:uiPriority="99" w:semiHidden="0" w:name="HTML Definition"/>
    <w:lsdException w:qFormat="1" w:unhideWhenUsed="0" w:uiPriority="99" w:semiHidden="0" w:name="HTML Keyboard"/>
    <w:lsdException w:qFormat="1" w:unhideWhenUsed="0" w:uiPriority="99" w:semiHidden="0" w:name="HTML Preformatted"/>
    <w:lsdException w:qFormat="1" w:unhideWhenUsed="0" w:uiPriority="99" w:semiHidden="0" w:name="HTML Sample"/>
    <w:lsdException w:qFormat="1" w:unhideWhenUsed="0" w:uiPriority="99" w:semiHidden="0" w:name="HTML Typewriter"/>
    <w:lsdException w:qFormat="1" w:unhideWhenUsed="0" w:uiPriority="99" w:semiHidden="0" w:name="HTML Variable"/>
    <w:lsdException w:qFormat="1" w:uiPriority="99" w:name="Normal Table"/>
    <w:lsdException w:qFormat="1" w:unhideWhenUsed="0" w:uiPriority="99" w:semiHidden="0" w:name="annotation subject"/>
    <w:lsdException w:qFormat="1" w:unhideWhenUsed="0" w:uiPriority="99" w:semiHidden="0" w:name="Table Simple 1"/>
    <w:lsdException w:qFormat="1" w:unhideWhenUsed="0" w:uiPriority="99" w:semiHidden="0" w:name="Table Simple 2"/>
    <w:lsdException w:qFormat="1" w:unhideWhenUsed="0" w:uiPriority="99" w:semiHidden="0" w:name="Table Simple 3"/>
    <w:lsdException w:qFormat="1" w:unhideWhenUsed="0" w:uiPriority="99" w:semiHidden="0" w:name="Table Classic 1"/>
    <w:lsdException w:qFormat="1" w:unhideWhenUsed="0" w:uiPriority="99" w:semiHidden="0" w:name="Table Classic 2"/>
    <w:lsdException w:qFormat="1" w:unhideWhenUsed="0" w:uiPriority="99" w:semiHidden="0" w:name="Table Classic 3"/>
    <w:lsdException w:qFormat="1" w:unhideWhenUsed="0" w:uiPriority="99" w:semiHidden="0" w:name="Table Classic 4"/>
    <w:lsdException w:qFormat="1" w:unhideWhenUsed="0" w:uiPriority="99" w:semiHidden="0" w:name="Table Colorful 1"/>
    <w:lsdException w:qFormat="1" w:unhideWhenUsed="0" w:uiPriority="99" w:semiHidden="0" w:name="Table Colorful 2"/>
    <w:lsdException w:qFormat="1" w:unhideWhenUsed="0" w:uiPriority="99" w:semiHidden="0" w:name="Table Colorful 3"/>
    <w:lsdException w:qFormat="1" w:unhideWhenUsed="0" w:uiPriority="99" w:semiHidden="0" w:name="Table Columns 1"/>
    <w:lsdException w:qFormat="1" w:unhideWhenUsed="0" w:uiPriority="99" w:semiHidden="0" w:name="Table Columns 2"/>
    <w:lsdException w:qFormat="1" w:unhideWhenUsed="0" w:uiPriority="99" w:semiHidden="0" w:name="Table Columns 3"/>
    <w:lsdException w:qFormat="1" w:unhideWhenUsed="0" w:uiPriority="99" w:semiHidden="0" w:name="Table Columns 4"/>
    <w:lsdException w:qFormat="1" w:unhideWhenUsed="0" w:uiPriority="99" w:semiHidden="0" w:name="Table Columns 5"/>
    <w:lsdException w:qFormat="1" w:unhideWhenUsed="0" w:uiPriority="99" w:semiHidden="0" w:name="Table Grid 1"/>
    <w:lsdException w:qFormat="1" w:unhideWhenUsed="0" w:uiPriority="99" w:semiHidden="0" w:name="Table Grid 2"/>
    <w:lsdException w:qFormat="1" w:unhideWhenUsed="0" w:uiPriority="99" w:semiHidden="0" w:name="Table Grid 3"/>
    <w:lsdException w:qFormat="1" w:unhideWhenUsed="0" w:uiPriority="99" w:semiHidden="0" w:name="Table Grid 4"/>
    <w:lsdException w:qFormat="1" w:unhideWhenUsed="0" w:uiPriority="99" w:semiHidden="0" w:name="Table Grid 5"/>
    <w:lsdException w:qFormat="1" w:unhideWhenUsed="0" w:uiPriority="99" w:semiHidden="0" w:name="Table Grid 6"/>
    <w:lsdException w:qFormat="1" w:unhideWhenUsed="0" w:uiPriority="99" w:semiHidden="0" w:name="Table Grid 7"/>
    <w:lsdException w:qFormat="1" w:unhideWhenUsed="0" w:uiPriority="99" w:semiHidden="0" w:name="Table Grid 8"/>
    <w:lsdException w:qFormat="1" w:unhideWhenUsed="0" w:uiPriority="99" w:semiHidden="0" w:name="Table List 1"/>
    <w:lsdException w:qFormat="1" w:unhideWhenUsed="0" w:uiPriority="99" w:semiHidden="0" w:name="Table List 2"/>
    <w:lsdException w:qFormat="1" w:unhideWhenUsed="0" w:uiPriority="99" w:semiHidden="0" w:name="Table List 3"/>
    <w:lsdException w:qFormat="1" w:unhideWhenUsed="0" w:uiPriority="99" w:semiHidden="0" w:name="Table List 4"/>
    <w:lsdException w:qFormat="1" w:unhideWhenUsed="0" w:uiPriority="99" w:semiHidden="0" w:name="Table List 5"/>
    <w:lsdException w:qFormat="1" w:unhideWhenUsed="0" w:uiPriority="99" w:semiHidden="0" w:name="Table List 6"/>
    <w:lsdException w:qFormat="1" w:unhideWhenUsed="0" w:uiPriority="99" w:semiHidden="0" w:name="Table List 7"/>
    <w:lsdException w:qFormat="1" w:unhideWhenUsed="0" w:uiPriority="99" w:semiHidden="0" w:name="Table List 8"/>
    <w:lsdException w:qFormat="1" w:unhideWhenUsed="0" w:uiPriority="99" w:semiHidden="0" w:name="Table 3D effects 1"/>
    <w:lsdException w:qFormat="1" w:unhideWhenUsed="0" w:uiPriority="99" w:semiHidden="0" w:name="Table 3D effects 2"/>
    <w:lsdException w:qFormat="1" w:unhideWhenUsed="0" w:uiPriority="99" w:semiHidden="0" w:name="Table 3D effects 3"/>
    <w:lsdException w:qFormat="1" w:unhideWhenUsed="0" w:uiPriority="99" w:semiHidden="0" w:name="Table Contemporary"/>
    <w:lsdException w:qFormat="1" w:unhideWhenUsed="0" w:uiPriority="99" w:semiHidden="0" w:name="Table Elegant"/>
    <w:lsdException w:qFormat="1" w:unhideWhenUsed="0" w:uiPriority="99" w:semiHidden="0" w:name="Table Professional"/>
    <w:lsdException w:qFormat="1" w:unhideWhenUsed="0" w:uiPriority="99" w:semiHidden="0" w:name="Table Subtle 1"/>
    <w:lsdException w:qFormat="1" w:unhideWhenUsed="0" w:uiPriority="99" w:semiHidden="0" w:name="Table Subtle 2"/>
    <w:lsdException w:qFormat="1" w:unhideWhenUsed="0" w:uiPriority="99" w:semiHidden="0" w:name="Table Web 1"/>
    <w:lsdException w:qFormat="1" w:unhideWhenUsed="0" w:uiPriority="99" w:semiHidden="0" w:name="Table Web 2"/>
    <w:lsdException w:qFormat="1" w:unhideWhenUsed="0" w:uiPriority="99" w:semiHidden="0" w:name="Table Web 3"/>
    <w:lsdException w:qFormat="1" w:unhideWhenUsed="0" w:uiPriority="99" w:semiHidden="0" w:name="Balloon Text"/>
    <w:lsdException w:qFormat="1" w:unhideWhenUsed="0" w:uiPriority="0" w:semiHidden="0" w:name="Table Grid"/>
    <w:lsdException w:qFormat="1"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spacing w:beforeLines="0" w:afterLines="0"/>
      <w:jc w:val="both"/>
    </w:pPr>
    <w:rPr>
      <w:rFonts w:hint="eastAsia" w:ascii="Times New Roman" w:hAnsi="Times New Roman" w:eastAsia="Times New Roman" w:cs="Times New Roman"/>
      <w:kern w:val="2"/>
      <w:sz w:val="21"/>
      <w:szCs w:val="24"/>
    </w:rPr>
  </w:style>
  <w:style w:type="character" w:default="1" w:styleId="12">
    <w:name w:val="Default Paragraph Font"/>
    <w:unhideWhenUsed/>
    <w:qFormat/>
    <w:uiPriority w:val="99"/>
    <w:rPr>
      <w:rFonts w:hint="default"/>
      <w:sz w:val="24"/>
      <w:szCs w:val="24"/>
    </w:rPr>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99"/>
    <w:pPr>
      <w:jc w:val="left"/>
    </w:pPr>
  </w:style>
  <w:style w:type="paragraph" w:styleId="3">
    <w:name w:val="Body Text"/>
    <w:basedOn w:val="1"/>
    <w:semiHidden/>
    <w:qFormat/>
    <w:uiPriority w:val="0"/>
    <w:rPr>
      <w:rFonts w:ascii="宋体" w:hAnsi="宋体" w:eastAsia="宋体" w:cs="宋体"/>
      <w:sz w:val="31"/>
      <w:szCs w:val="31"/>
      <w:lang w:val="en-US" w:eastAsia="en-US" w:bidi="ar-SA"/>
    </w:rPr>
  </w:style>
  <w:style w:type="paragraph" w:styleId="4">
    <w:name w:val="footer"/>
    <w:basedOn w:val="1"/>
    <w:autoRedefine/>
    <w:qFormat/>
    <w:uiPriority w:val="99"/>
    <w:pPr>
      <w:tabs>
        <w:tab w:val="center" w:pos="4153"/>
        <w:tab w:val="right" w:pos="8306"/>
      </w:tabs>
      <w:snapToGrid w:val="0"/>
      <w:jc w:val="left"/>
    </w:pPr>
    <w:rPr>
      <w:sz w:val="18"/>
    </w:rPr>
  </w:style>
  <w:style w:type="paragraph" w:styleId="5">
    <w:name w:val="header"/>
    <w:basedOn w:val="1"/>
    <w:autoRedefine/>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autoRedefine/>
    <w:qFormat/>
    <w:uiPriority w:val="99"/>
  </w:style>
  <w:style w:type="paragraph" w:styleId="7">
    <w:name w:val="toc 2"/>
    <w:basedOn w:val="1"/>
    <w:next w:val="1"/>
    <w:autoRedefine/>
    <w:qFormat/>
    <w:uiPriority w:val="99"/>
    <w:pPr>
      <w:ind w:left="420" w:leftChars="200"/>
    </w:pPr>
  </w:style>
  <w:style w:type="paragraph" w:styleId="8">
    <w:name w:val="Body Text 2"/>
    <w:basedOn w:val="1"/>
    <w:autoRedefine/>
    <w:unhideWhenUsed/>
    <w:qFormat/>
    <w:uiPriority w:val="0"/>
    <w:pPr>
      <w:shd w:val="clear" w:color="auto" w:fill="FFFFFF"/>
      <w:spacing w:beforeLines="0" w:afterLines="0" w:line="500" w:lineRule="exact"/>
      <w:ind w:right="21"/>
    </w:pPr>
    <w:rPr>
      <w:rFonts w:hint="default" w:eastAsia="楷体_GB2312"/>
      <w:snapToGrid w:val="0"/>
      <w:kern w:val="0"/>
      <w:sz w:val="30"/>
      <w:szCs w:val="24"/>
    </w:rPr>
  </w:style>
  <w:style w:type="paragraph" w:styleId="9">
    <w:name w:val="Body Text First Indent 2"/>
    <w:basedOn w:val="8"/>
    <w:next w:val="1"/>
    <w:autoRedefine/>
    <w:unhideWhenUsed/>
    <w:qFormat/>
    <w:uiPriority w:val="0"/>
    <w:pPr>
      <w:spacing w:beforeLines="0" w:after="120" w:afterLines="0" w:line="240" w:lineRule="auto"/>
      <w:ind w:left="420" w:leftChars="200" w:firstLine="420" w:firstLineChars="200"/>
    </w:pPr>
    <w:rPr>
      <w:rFonts w:hint="default"/>
      <w:sz w:val="30"/>
      <w:szCs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Default"/>
    <w:autoRedefine/>
    <w:unhideWhenUsed/>
    <w:qFormat/>
    <w:uiPriority w:val="99"/>
    <w:pPr>
      <w:widowControl w:val="0"/>
      <w:autoSpaceDE w:val="0"/>
      <w:autoSpaceDN w:val="0"/>
      <w:adjustRightInd w:val="0"/>
    </w:pPr>
    <w:rPr>
      <w:rFonts w:hint="eastAsia" w:ascii="仿宋" w:hAnsi="仿宋" w:eastAsia="仿宋" w:cs="Times New Roman"/>
      <w:color w:val="000000"/>
      <w:sz w:val="24"/>
      <w:szCs w:val="24"/>
    </w:rPr>
  </w:style>
  <w:style w:type="paragraph" w:customStyle="1" w:styleId="14">
    <w:name w:val="Heading #1|1"/>
    <w:basedOn w:val="1"/>
    <w:autoRedefine/>
    <w:qFormat/>
    <w:uiPriority w:val="0"/>
    <w:pPr>
      <w:widowControl w:val="0"/>
      <w:shd w:val="clear" w:color="auto" w:fill="auto"/>
      <w:spacing w:after="1540"/>
      <w:ind w:right="150"/>
      <w:outlineLvl w:val="0"/>
    </w:pPr>
    <w:rPr>
      <w:rFonts w:ascii="宋体" w:hAnsi="宋体" w:eastAsia="宋体" w:cs="宋体"/>
      <w:i/>
      <w:iCs/>
      <w:sz w:val="54"/>
      <w:szCs w:val="54"/>
      <w:u w:val="none"/>
      <w:shd w:val="clear" w:color="auto" w:fill="auto"/>
      <w:lang w:val="zh-TW" w:eastAsia="zh-TW" w:bidi="zh-TW"/>
    </w:rPr>
  </w:style>
  <w:style w:type="paragraph" w:customStyle="1" w:styleId="15">
    <w:name w:val="WPSOffice手动目录 1"/>
    <w:autoRedefine/>
    <w:qFormat/>
    <w:uiPriority w:val="0"/>
    <w:pPr>
      <w:ind w:leftChars="0"/>
    </w:pPr>
    <w:rPr>
      <w:rFonts w:ascii="Times New Roman" w:hAnsi="Times New Roman" w:eastAsia="宋体" w:cs="Times New Roman"/>
      <w:sz w:val="20"/>
      <w:szCs w:val="20"/>
    </w:rPr>
  </w:style>
  <w:style w:type="paragraph" w:customStyle="1" w:styleId="16">
    <w:name w:val="WPSOffice手动目录 2"/>
    <w:autoRedefine/>
    <w:qFormat/>
    <w:uiPriority w:val="0"/>
    <w:pPr>
      <w:ind w:leftChars="200"/>
    </w:pPr>
    <w:rPr>
      <w:rFonts w:ascii="Times New Roman" w:hAnsi="Times New Roman" w:eastAsia="宋体" w:cs="Times New Roman"/>
      <w:sz w:val="20"/>
      <w:szCs w:val="20"/>
    </w:rPr>
  </w:style>
  <w:style w:type="paragraph" w:customStyle="1" w:styleId="17">
    <w:name w:val="Table Text"/>
    <w:basedOn w:val="1"/>
    <w:semiHidden/>
    <w:qFormat/>
    <w:uiPriority w:val="0"/>
    <w:rPr>
      <w:rFonts w:ascii="仿宋" w:hAnsi="仿宋" w:eastAsia="仿宋" w:cs="仿宋"/>
      <w:sz w:val="28"/>
      <w:szCs w:val="28"/>
      <w:lang w:val="en-US" w:eastAsia="en-US" w:bidi="ar-SA"/>
    </w:rPr>
  </w:style>
  <w:style w:type="table" w:customStyle="1" w:styleId="1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Words>351</Words>
  <Characters>407</Characters>
  <TotalTime>0</TotalTime>
  <ScaleCrop>false</ScaleCrop>
  <LinksUpToDate>false</LinksUpToDate>
  <CharactersWithSpaces>436</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2022-11-04T02:11:00Z</dcterms:created>
  <dc:creator>Administrator</dc:creator>
  <cp:lastModifiedBy>正诚</cp:lastModifiedBy>
  <cp:lastPrinted>2024-01-24T03:04:00Z</cp:lastPrinted>
  <dcterms:modified xsi:type="dcterms:W3CDTF">2026-06-04T08:13:09Z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685D119CB69A41BC9E514F93D1A92F2B_13</vt:lpwstr>
  </property>
  <property fmtid="{D5CDD505-2E9C-101B-9397-08002B2CF9AE}" pid="4" name="KSOTemplateDocerSaveRecord">
    <vt:lpwstr>eyJoZGlkIjoiMTA3YTRhZTJhODBkODcxMGRjYzE0ZTk5ZWJmNmY2ODEiLCJ1c2VySWQiOiIxMzgzMzE1MzYzIn0=</vt:lpwstr>
  </property>
</Properties>
</file>